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9205" w14:textId="77777777" w:rsidR="002C5DF5" w:rsidRDefault="00B765DC" w:rsidP="007D7AFD">
      <w:pPr>
        <w:pStyle w:val="Kop1"/>
      </w:pPr>
      <w:bookmarkStart w:id="0" w:name="_Toc307914144"/>
      <w:bookmarkStart w:id="1" w:name="_GoBack"/>
      <w:bookmarkEnd w:id="1"/>
      <w:r>
        <w:rPr>
          <w:noProof/>
        </w:rPr>
        <w:drawing>
          <wp:anchor distT="0" distB="0" distL="114300" distR="114300" simplePos="0" relativeHeight="251661312" behindDoc="1" locked="0" layoutInCell="1" allowOverlap="1" wp14:anchorId="0D68321F" wp14:editId="71577BC4">
            <wp:simplePos x="0" y="0"/>
            <wp:positionH relativeFrom="page">
              <wp:align>right</wp:align>
            </wp:positionH>
            <wp:positionV relativeFrom="paragraph">
              <wp:posOffset>-906780</wp:posOffset>
            </wp:positionV>
            <wp:extent cx="7534275" cy="10662062"/>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_Omslag_basis-leeg_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275" cy="10662062"/>
                    </a:xfrm>
                    <a:prstGeom prst="rect">
                      <a:avLst/>
                    </a:prstGeom>
                  </pic:spPr>
                </pic:pic>
              </a:graphicData>
            </a:graphic>
            <wp14:sizeRelH relativeFrom="page">
              <wp14:pctWidth>0</wp14:pctWidth>
            </wp14:sizeRelH>
            <wp14:sizeRelV relativeFrom="page">
              <wp14:pctHeight>0</wp14:pctHeight>
            </wp14:sizeRelV>
          </wp:anchor>
        </w:drawing>
      </w:r>
    </w:p>
    <w:p w14:paraId="1E6F8A1B" w14:textId="77777777" w:rsidR="002C5DF5" w:rsidRDefault="002C5DF5" w:rsidP="002C5DF5"/>
    <w:p w14:paraId="381201CE" w14:textId="77777777" w:rsidR="002C5DF5" w:rsidRDefault="002C5DF5" w:rsidP="002C5DF5"/>
    <w:p w14:paraId="25DC0711" w14:textId="77777777" w:rsidR="002C5DF5" w:rsidRDefault="002C5DF5" w:rsidP="002C5DF5"/>
    <w:p w14:paraId="0507D8BE" w14:textId="77777777" w:rsidR="002C5DF5" w:rsidRDefault="002C5DF5" w:rsidP="002C5DF5"/>
    <w:p w14:paraId="1912A207" w14:textId="77777777" w:rsidR="002C5DF5" w:rsidRDefault="002C5DF5" w:rsidP="002C5DF5"/>
    <w:p w14:paraId="7ADEB870" w14:textId="77777777" w:rsidR="002C5DF5" w:rsidRPr="002C5DF5" w:rsidRDefault="002C5DF5" w:rsidP="002C5DF5"/>
    <w:p w14:paraId="4D568EFB" w14:textId="77777777" w:rsidR="002C5DF5" w:rsidRDefault="002C5DF5" w:rsidP="002C5DF5"/>
    <w:p w14:paraId="0CB81B6A" w14:textId="77777777" w:rsidR="002C5DF5" w:rsidRDefault="002C5DF5" w:rsidP="002C5DF5"/>
    <w:p w14:paraId="0E005806" w14:textId="77777777" w:rsidR="002C5DF5" w:rsidRDefault="002C5DF5" w:rsidP="002C5DF5"/>
    <w:p w14:paraId="3E3D9F98" w14:textId="77777777" w:rsidR="00BF0007" w:rsidRDefault="00C508E9" w:rsidP="002C5DF5">
      <w:pPr>
        <w:pStyle w:val="Geenafstand"/>
        <w:jc w:val="center"/>
        <w:rPr>
          <w:rFonts w:ascii="Arial" w:hAnsi="Arial" w:cs="Arial"/>
          <w:color w:val="00B0F0"/>
          <w:sz w:val="40"/>
          <w:szCs w:val="40"/>
        </w:rPr>
      </w:pPr>
      <w:r>
        <w:rPr>
          <w:rFonts w:ascii="Arial" w:hAnsi="Arial" w:cs="Arial"/>
          <w:color w:val="00B0F0"/>
          <w:sz w:val="40"/>
          <w:szCs w:val="40"/>
        </w:rPr>
        <w:t xml:space="preserve">KADERNOTA </w:t>
      </w:r>
    </w:p>
    <w:p w14:paraId="5D2053A6" w14:textId="77777777" w:rsidR="002C5DF5" w:rsidRPr="003167CD" w:rsidRDefault="002C5DF5" w:rsidP="002C5DF5">
      <w:pPr>
        <w:pStyle w:val="Geenafstand"/>
        <w:jc w:val="center"/>
        <w:rPr>
          <w:rFonts w:ascii="Arial" w:hAnsi="Arial" w:cs="Arial"/>
          <w:color w:val="00B0F0"/>
          <w:sz w:val="40"/>
          <w:szCs w:val="40"/>
        </w:rPr>
      </w:pPr>
      <w:r>
        <w:rPr>
          <w:rFonts w:ascii="Arial" w:hAnsi="Arial" w:cs="Arial"/>
          <w:color w:val="00B0F0"/>
          <w:sz w:val="40"/>
          <w:szCs w:val="40"/>
        </w:rPr>
        <w:t>BEGROTING 20</w:t>
      </w:r>
      <w:r w:rsidR="00AA4659">
        <w:rPr>
          <w:rFonts w:ascii="Arial" w:hAnsi="Arial" w:cs="Arial"/>
          <w:color w:val="00B0F0"/>
          <w:sz w:val="40"/>
          <w:szCs w:val="40"/>
        </w:rPr>
        <w:t>2</w:t>
      </w:r>
      <w:r w:rsidR="006B33D5">
        <w:rPr>
          <w:rFonts w:ascii="Arial" w:hAnsi="Arial" w:cs="Arial"/>
          <w:color w:val="00B0F0"/>
          <w:sz w:val="40"/>
          <w:szCs w:val="40"/>
        </w:rPr>
        <w:t>1</w:t>
      </w:r>
    </w:p>
    <w:p w14:paraId="3C35E172" w14:textId="77777777" w:rsidR="002C5DF5" w:rsidRDefault="002C5DF5" w:rsidP="002C5DF5">
      <w:pPr>
        <w:jc w:val="center"/>
        <w:rPr>
          <w:b/>
          <w:color w:val="5F497A" w:themeColor="accent4" w:themeShade="BF"/>
          <w:sz w:val="40"/>
          <w:szCs w:val="40"/>
        </w:rPr>
      </w:pPr>
      <w:r w:rsidRPr="005D4822">
        <w:rPr>
          <w:b/>
          <w:sz w:val="40"/>
          <w:szCs w:val="40"/>
        </w:rPr>
        <w:br/>
      </w:r>
      <w:r w:rsidRPr="00382D2A">
        <w:rPr>
          <w:b/>
          <w:color w:val="5F497A" w:themeColor="accent4" w:themeShade="BF"/>
          <w:sz w:val="40"/>
          <w:szCs w:val="40"/>
        </w:rPr>
        <w:t>M</w:t>
      </w:r>
      <w:r>
        <w:rPr>
          <w:b/>
          <w:color w:val="5F497A" w:themeColor="accent4" w:themeShade="BF"/>
          <w:sz w:val="40"/>
          <w:szCs w:val="40"/>
        </w:rPr>
        <w:t>ETROPOOLREGIO EINDHOVEN</w:t>
      </w:r>
    </w:p>
    <w:p w14:paraId="7A169998" w14:textId="77777777" w:rsidR="00BF0007" w:rsidRDefault="00BF0007" w:rsidP="002C5DF5">
      <w:pPr>
        <w:jc w:val="center"/>
        <w:rPr>
          <w:b/>
          <w:color w:val="5F497A" w:themeColor="accent4" w:themeShade="BF"/>
          <w:sz w:val="40"/>
          <w:szCs w:val="40"/>
        </w:rPr>
      </w:pPr>
    </w:p>
    <w:p w14:paraId="75CFCA35" w14:textId="77777777" w:rsidR="00BF0007" w:rsidRDefault="00BF0007" w:rsidP="002C5DF5">
      <w:pPr>
        <w:jc w:val="center"/>
        <w:rPr>
          <w:b/>
          <w:color w:val="5F497A" w:themeColor="accent4" w:themeShade="BF"/>
          <w:sz w:val="40"/>
          <w:szCs w:val="40"/>
        </w:rPr>
      </w:pPr>
    </w:p>
    <w:p w14:paraId="3F8D3E40" w14:textId="77777777" w:rsidR="002C5DF5" w:rsidRDefault="002C5DF5" w:rsidP="002C5DF5"/>
    <w:p w14:paraId="289A05C7" w14:textId="77777777" w:rsidR="002C5DF5" w:rsidRDefault="002C5DF5" w:rsidP="002C5DF5"/>
    <w:p w14:paraId="37DC65AE" w14:textId="77777777" w:rsidR="002C5DF5" w:rsidRDefault="002C5DF5" w:rsidP="002C5DF5"/>
    <w:p w14:paraId="1D359B81" w14:textId="77777777" w:rsidR="00F81350" w:rsidRDefault="00F81350" w:rsidP="002C5DF5"/>
    <w:p w14:paraId="2C9B6ECB" w14:textId="77777777" w:rsidR="00F81350" w:rsidRDefault="00F81350" w:rsidP="002C5DF5"/>
    <w:p w14:paraId="61F62DCC" w14:textId="77777777" w:rsidR="00F81350" w:rsidRDefault="00F81350" w:rsidP="002C5DF5"/>
    <w:p w14:paraId="3C47D2F6" w14:textId="77777777" w:rsidR="00F81350" w:rsidRDefault="00F81350" w:rsidP="002C5DF5"/>
    <w:p w14:paraId="2A74F7C4" w14:textId="77777777" w:rsidR="00F81350" w:rsidRDefault="00F81350" w:rsidP="002C5DF5"/>
    <w:p w14:paraId="6451F038" w14:textId="77777777" w:rsidR="00F81350" w:rsidRDefault="00F81350" w:rsidP="002C5DF5"/>
    <w:p w14:paraId="36798244" w14:textId="77777777" w:rsidR="00F81350" w:rsidRDefault="00F81350" w:rsidP="002C5DF5"/>
    <w:p w14:paraId="6E873016" w14:textId="77777777" w:rsidR="00F81350" w:rsidRDefault="00F81350" w:rsidP="002C5DF5"/>
    <w:p w14:paraId="534C9D79" w14:textId="77777777" w:rsidR="00F81350" w:rsidRDefault="00F81350" w:rsidP="002C5DF5"/>
    <w:p w14:paraId="3D4210EF" w14:textId="77777777" w:rsidR="00F81350" w:rsidRDefault="00F81350" w:rsidP="002C5DF5"/>
    <w:p w14:paraId="2A9082D5" w14:textId="77777777" w:rsidR="00F81350" w:rsidRDefault="00F81350" w:rsidP="002C5DF5"/>
    <w:p w14:paraId="04F7EF56" w14:textId="77777777" w:rsidR="00F81350" w:rsidRDefault="00F81350" w:rsidP="002C5DF5"/>
    <w:p w14:paraId="36A5746F" w14:textId="77777777" w:rsidR="00F81350" w:rsidRDefault="00F81350" w:rsidP="002C5DF5"/>
    <w:p w14:paraId="04709707" w14:textId="77777777" w:rsidR="00F81350" w:rsidRDefault="00F81350" w:rsidP="002C5DF5"/>
    <w:p w14:paraId="6E5E8CB4" w14:textId="77777777" w:rsidR="00F81350" w:rsidRDefault="00F81350" w:rsidP="002C5DF5"/>
    <w:p w14:paraId="3C48D931" w14:textId="77777777" w:rsidR="00F81350" w:rsidRDefault="00F81350" w:rsidP="002C5DF5"/>
    <w:p w14:paraId="51C0F3C2" w14:textId="77777777" w:rsidR="00F81350" w:rsidRDefault="00F81350" w:rsidP="002C5DF5"/>
    <w:p w14:paraId="725433D6" w14:textId="77777777" w:rsidR="00F81350" w:rsidRDefault="00F81350" w:rsidP="002C5DF5"/>
    <w:p w14:paraId="23559B32" w14:textId="77777777" w:rsidR="00F81350" w:rsidRDefault="00F81350" w:rsidP="002C5DF5"/>
    <w:p w14:paraId="262F89C8" w14:textId="77777777" w:rsidR="00F81350" w:rsidRDefault="00F81350" w:rsidP="002C5DF5"/>
    <w:p w14:paraId="08C5957A" w14:textId="77777777" w:rsidR="00F81350" w:rsidRDefault="00F81350" w:rsidP="002C5DF5"/>
    <w:p w14:paraId="1F04184D" w14:textId="77777777" w:rsidR="00F81350" w:rsidRDefault="00F81350" w:rsidP="002C5DF5"/>
    <w:p w14:paraId="7B25178A" w14:textId="77777777" w:rsidR="00F81350" w:rsidRDefault="00F81350" w:rsidP="002C5DF5"/>
    <w:p w14:paraId="5904F39B" w14:textId="77777777" w:rsidR="00F81350" w:rsidRDefault="00F81350" w:rsidP="002C5DF5"/>
    <w:p w14:paraId="2E025F7F" w14:textId="77777777" w:rsidR="00F81350" w:rsidRDefault="00F81350" w:rsidP="002C5DF5"/>
    <w:p w14:paraId="2C164AFA" w14:textId="77777777" w:rsidR="00F81350" w:rsidRDefault="00F81350" w:rsidP="002C5DF5"/>
    <w:p w14:paraId="6E47295E" w14:textId="77777777" w:rsidR="00F81350" w:rsidRDefault="00F81350" w:rsidP="002C5DF5"/>
    <w:p w14:paraId="3B0ADF1A" w14:textId="77777777" w:rsidR="00F81350" w:rsidRDefault="00F81350" w:rsidP="002C5DF5"/>
    <w:p w14:paraId="2B1DCE46" w14:textId="77777777" w:rsidR="00F81350" w:rsidRDefault="00F81350" w:rsidP="002C5DF5"/>
    <w:p w14:paraId="317F2780" w14:textId="77777777" w:rsidR="00F81350" w:rsidRDefault="00F81350" w:rsidP="002C5DF5"/>
    <w:p w14:paraId="761B2BB2" w14:textId="77777777" w:rsidR="00F81350" w:rsidRDefault="00F81350" w:rsidP="002C5DF5"/>
    <w:p w14:paraId="0B682F79" w14:textId="77777777" w:rsidR="00F81350" w:rsidRDefault="00F81350" w:rsidP="002C5DF5"/>
    <w:p w14:paraId="36F1E656" w14:textId="77777777" w:rsidR="00F81350" w:rsidRDefault="00F81350" w:rsidP="002C5DF5"/>
    <w:p w14:paraId="791E3F9D" w14:textId="77777777" w:rsidR="00F81350" w:rsidRDefault="00F81350" w:rsidP="002C5DF5"/>
    <w:p w14:paraId="187B6A17" w14:textId="77777777" w:rsidR="00F81350" w:rsidRDefault="00F81350" w:rsidP="002C5DF5"/>
    <w:p w14:paraId="61D6EE30" w14:textId="77777777" w:rsidR="00F81350" w:rsidRPr="008C5D93" w:rsidRDefault="00F81350" w:rsidP="00F81350">
      <w:pPr>
        <w:rPr>
          <w:b/>
          <w:color w:val="99CC00"/>
          <w:sz w:val="40"/>
          <w:szCs w:val="40"/>
        </w:rPr>
      </w:pPr>
      <w:r w:rsidRPr="008C5D93">
        <w:rPr>
          <w:b/>
          <w:color w:val="99CC00"/>
          <w:sz w:val="40"/>
          <w:szCs w:val="40"/>
        </w:rPr>
        <w:lastRenderedPageBreak/>
        <w:t>Inhoud</w:t>
      </w:r>
    </w:p>
    <w:p w14:paraId="0D7C992F" w14:textId="77777777" w:rsidR="002C5DF5" w:rsidRDefault="002C5DF5" w:rsidP="002C5DF5"/>
    <w:p w14:paraId="000D4937" w14:textId="77777777" w:rsidR="00F81350" w:rsidRPr="00D06950" w:rsidRDefault="00F81350" w:rsidP="00F81350">
      <w:pPr>
        <w:pStyle w:val="Lijstalinea"/>
        <w:numPr>
          <w:ilvl w:val="0"/>
          <w:numId w:val="6"/>
        </w:numPr>
        <w:rPr>
          <w:b/>
        </w:rPr>
      </w:pPr>
      <w:r w:rsidRPr="00D06950">
        <w:rPr>
          <w:b/>
        </w:rPr>
        <w:t>Algemeen</w:t>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p>
    <w:p w14:paraId="18BE6BBF" w14:textId="77777777" w:rsidR="00F81350" w:rsidRDefault="00F81350" w:rsidP="00F81350"/>
    <w:p w14:paraId="5C382AAB" w14:textId="77777777" w:rsidR="00F81350" w:rsidRDefault="00F81350" w:rsidP="00F81350">
      <w:pPr>
        <w:ind w:left="708"/>
      </w:pPr>
      <w:r>
        <w:t>Loon en prijsmutaties</w:t>
      </w:r>
      <w:r w:rsidR="00873C5E">
        <w:tab/>
      </w:r>
      <w:r w:rsidR="00873C5E">
        <w:tab/>
      </w:r>
      <w:r w:rsidR="00873C5E">
        <w:tab/>
      </w:r>
      <w:r w:rsidR="00873C5E">
        <w:tab/>
      </w:r>
      <w:r w:rsidR="00873C5E">
        <w:tab/>
      </w:r>
      <w:r w:rsidR="00873C5E">
        <w:tab/>
      </w:r>
      <w:r w:rsidR="00873C5E">
        <w:tab/>
      </w:r>
      <w:r w:rsidR="00873C5E">
        <w:tab/>
      </w:r>
      <w:r w:rsidR="00873C5E">
        <w:tab/>
        <w:t>3</w:t>
      </w:r>
    </w:p>
    <w:p w14:paraId="71C9D706" w14:textId="77777777" w:rsidR="00F81350" w:rsidRDefault="00F81350" w:rsidP="00F81350">
      <w:pPr>
        <w:ind w:left="708"/>
      </w:pPr>
      <w:r>
        <w:t>Nacalculatie</w:t>
      </w:r>
      <w:r w:rsidR="00873C5E">
        <w:tab/>
      </w:r>
      <w:r w:rsidR="00873C5E">
        <w:tab/>
      </w:r>
      <w:r w:rsidR="00873C5E">
        <w:tab/>
      </w:r>
      <w:r w:rsidR="00873C5E">
        <w:tab/>
      </w:r>
      <w:r w:rsidR="00873C5E">
        <w:tab/>
      </w:r>
      <w:r w:rsidR="00873C5E">
        <w:tab/>
      </w:r>
      <w:r w:rsidR="00873C5E">
        <w:tab/>
      </w:r>
      <w:r w:rsidR="00873C5E">
        <w:tab/>
      </w:r>
      <w:r w:rsidR="00873C5E">
        <w:tab/>
      </w:r>
      <w:r w:rsidR="00873C5E">
        <w:tab/>
        <w:t>3</w:t>
      </w:r>
    </w:p>
    <w:p w14:paraId="674B074D" w14:textId="77777777" w:rsidR="00F81350" w:rsidRDefault="00F81350" w:rsidP="00F81350">
      <w:pPr>
        <w:ind w:left="708"/>
      </w:pPr>
      <w:r>
        <w:t>Compensatie toename inwoneraantallen</w:t>
      </w:r>
      <w:r w:rsidR="00873C5E">
        <w:tab/>
      </w:r>
      <w:r w:rsidR="00873C5E">
        <w:tab/>
      </w:r>
      <w:r w:rsidR="00873C5E">
        <w:tab/>
      </w:r>
      <w:r w:rsidR="00873C5E">
        <w:tab/>
      </w:r>
      <w:r w:rsidR="00873C5E">
        <w:tab/>
      </w:r>
      <w:r w:rsidR="00873C5E">
        <w:tab/>
        <w:t>3</w:t>
      </w:r>
    </w:p>
    <w:p w14:paraId="4463F435" w14:textId="77777777" w:rsidR="00F81350" w:rsidRDefault="00F81350" w:rsidP="00F81350">
      <w:pPr>
        <w:ind w:left="708"/>
      </w:pPr>
      <w:r>
        <w:t>Gemeentelijke bijdrage Brainport Development</w:t>
      </w:r>
      <w:r w:rsidR="00FA42AF">
        <w:tab/>
      </w:r>
      <w:r w:rsidR="00FA42AF">
        <w:tab/>
      </w:r>
      <w:r w:rsidR="00873C5E">
        <w:tab/>
      </w:r>
      <w:r w:rsidR="00873C5E">
        <w:tab/>
      </w:r>
      <w:r w:rsidR="00873C5E">
        <w:tab/>
      </w:r>
      <w:r w:rsidR="00873C5E">
        <w:tab/>
        <w:t>3</w:t>
      </w:r>
    </w:p>
    <w:p w14:paraId="499C69EC" w14:textId="77777777" w:rsidR="00FA42AF" w:rsidRDefault="00FA42AF" w:rsidP="00F81350">
      <w:pPr>
        <w:ind w:left="708"/>
      </w:pPr>
      <w:r>
        <w:t>Gemeentelijke bijdrage Stimuleringsfonds</w:t>
      </w:r>
      <w:r>
        <w:tab/>
      </w:r>
      <w:r>
        <w:tab/>
      </w:r>
      <w:r>
        <w:tab/>
      </w:r>
      <w:r>
        <w:tab/>
      </w:r>
      <w:r>
        <w:tab/>
      </w:r>
      <w:r>
        <w:tab/>
        <w:t>3</w:t>
      </w:r>
    </w:p>
    <w:p w14:paraId="10986651" w14:textId="77777777" w:rsidR="00F81350" w:rsidRDefault="00F81350" w:rsidP="00F81350"/>
    <w:p w14:paraId="4199F443" w14:textId="77777777" w:rsidR="00F81350" w:rsidRPr="00D06950" w:rsidRDefault="00F81350" w:rsidP="00F81350">
      <w:pPr>
        <w:pStyle w:val="Lijstalinea"/>
        <w:numPr>
          <w:ilvl w:val="0"/>
          <w:numId w:val="6"/>
        </w:numPr>
        <w:rPr>
          <w:b/>
        </w:rPr>
      </w:pPr>
      <w:r w:rsidRPr="00D06950">
        <w:rPr>
          <w:b/>
        </w:rPr>
        <w:t>Indexering gemeentelijke bijdrage</w:t>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p>
    <w:p w14:paraId="4A3C8914" w14:textId="77777777" w:rsidR="00F81350" w:rsidRDefault="00F81350" w:rsidP="00F81350"/>
    <w:p w14:paraId="0F639CD6" w14:textId="77777777" w:rsidR="00F81350" w:rsidRDefault="00F81350" w:rsidP="00F81350">
      <w:pPr>
        <w:ind w:left="708"/>
      </w:pPr>
      <w:r>
        <w:t>Historie</w:t>
      </w:r>
      <w:r w:rsidR="00873C5E">
        <w:tab/>
      </w:r>
      <w:r w:rsidR="00873C5E">
        <w:tab/>
      </w:r>
      <w:r w:rsidR="00873C5E">
        <w:tab/>
      </w:r>
      <w:r w:rsidR="00873C5E">
        <w:tab/>
      </w:r>
      <w:r w:rsidR="00873C5E">
        <w:tab/>
      </w:r>
      <w:r w:rsidR="00873C5E">
        <w:tab/>
      </w:r>
      <w:r w:rsidR="00873C5E">
        <w:tab/>
      </w:r>
      <w:r w:rsidR="00873C5E">
        <w:tab/>
      </w:r>
      <w:r w:rsidR="00873C5E">
        <w:tab/>
      </w:r>
      <w:r w:rsidR="00873C5E">
        <w:tab/>
      </w:r>
      <w:r w:rsidR="00873C5E">
        <w:tab/>
        <w:t>4</w:t>
      </w:r>
    </w:p>
    <w:p w14:paraId="7B8465AD" w14:textId="77777777" w:rsidR="00F81350" w:rsidRDefault="00F81350" w:rsidP="00F81350">
      <w:pPr>
        <w:ind w:left="708"/>
      </w:pPr>
      <w:r>
        <w:t>Indexering gemeentelijke bijdrage 20</w:t>
      </w:r>
      <w:r w:rsidR="00F133FD">
        <w:t>2</w:t>
      </w:r>
      <w:r w:rsidR="006B33D5">
        <w:t>1</w:t>
      </w:r>
      <w:r w:rsidR="00873C5E">
        <w:tab/>
      </w:r>
      <w:r w:rsidR="00873C5E">
        <w:tab/>
      </w:r>
      <w:r w:rsidR="00873C5E">
        <w:tab/>
      </w:r>
      <w:r w:rsidR="00873C5E">
        <w:tab/>
      </w:r>
      <w:r w:rsidR="00873C5E">
        <w:tab/>
      </w:r>
      <w:r w:rsidR="00873C5E">
        <w:tab/>
      </w:r>
      <w:r w:rsidR="00873C5E">
        <w:tab/>
        <w:t>4</w:t>
      </w:r>
    </w:p>
    <w:p w14:paraId="213D96EF" w14:textId="77777777" w:rsidR="00F81350" w:rsidRDefault="00F81350" w:rsidP="00F81350">
      <w:pPr>
        <w:ind w:left="708"/>
      </w:pPr>
      <w:r>
        <w:t>Meerjarenraming 20</w:t>
      </w:r>
      <w:r w:rsidR="00512C2E">
        <w:t>2</w:t>
      </w:r>
      <w:r w:rsidR="006B33D5">
        <w:t>2</w:t>
      </w:r>
      <w:r>
        <w:t xml:space="preserve"> en verdere jaren</w:t>
      </w:r>
      <w:r w:rsidR="00873C5E">
        <w:tab/>
      </w:r>
      <w:r w:rsidR="00873C5E">
        <w:tab/>
      </w:r>
      <w:r w:rsidR="00873C5E">
        <w:tab/>
      </w:r>
      <w:r w:rsidR="00873C5E">
        <w:tab/>
      </w:r>
      <w:r w:rsidR="00873C5E">
        <w:tab/>
      </w:r>
      <w:r w:rsidR="00873C5E">
        <w:tab/>
      </w:r>
      <w:r w:rsidR="00873C5E">
        <w:tab/>
        <w:t>4</w:t>
      </w:r>
    </w:p>
    <w:p w14:paraId="52D416AE" w14:textId="77777777" w:rsidR="008E4359" w:rsidRPr="008E4359" w:rsidRDefault="008E4359" w:rsidP="008E4359">
      <w:pPr>
        <w:rPr>
          <w:b/>
        </w:rPr>
      </w:pPr>
    </w:p>
    <w:p w14:paraId="2D76F278" w14:textId="77777777" w:rsidR="008E4359" w:rsidRPr="008E4359" w:rsidRDefault="008E4359" w:rsidP="008E4359">
      <w:pPr>
        <w:pStyle w:val="Lijstalinea"/>
        <w:numPr>
          <w:ilvl w:val="0"/>
          <w:numId w:val="6"/>
        </w:numPr>
        <w:rPr>
          <w:b/>
        </w:rPr>
      </w:pPr>
      <w:r w:rsidRPr="008E4359">
        <w:rPr>
          <w:b/>
        </w:rPr>
        <w:t>Pensioenkostenontwikkeling</w:t>
      </w:r>
      <w:r w:rsidRPr="008E4359">
        <w:rPr>
          <w:b/>
        </w:rPr>
        <w:tab/>
      </w:r>
      <w:r w:rsidRPr="008E4359">
        <w:rPr>
          <w:b/>
        </w:rPr>
        <w:tab/>
      </w:r>
      <w:r w:rsidRPr="008E4359">
        <w:rPr>
          <w:b/>
        </w:rPr>
        <w:tab/>
      </w:r>
      <w:r w:rsidRPr="008E4359">
        <w:rPr>
          <w:b/>
        </w:rPr>
        <w:tab/>
      </w:r>
      <w:r w:rsidRPr="008E4359">
        <w:rPr>
          <w:b/>
        </w:rPr>
        <w:tab/>
      </w:r>
      <w:r w:rsidRPr="008E4359">
        <w:rPr>
          <w:b/>
        </w:rPr>
        <w:tab/>
      </w:r>
      <w:r w:rsidRPr="008E4359">
        <w:rPr>
          <w:b/>
        </w:rPr>
        <w:tab/>
      </w:r>
      <w:r w:rsidRPr="008E4359">
        <w:rPr>
          <w:b/>
        </w:rPr>
        <w:tab/>
      </w:r>
      <w:r w:rsidRPr="008E4359">
        <w:t>4</w:t>
      </w:r>
    </w:p>
    <w:p w14:paraId="4740B697" w14:textId="77777777" w:rsidR="00F81350" w:rsidRPr="008E4359" w:rsidRDefault="00F81350" w:rsidP="00F81350">
      <w:pPr>
        <w:rPr>
          <w:b/>
        </w:rPr>
      </w:pPr>
    </w:p>
    <w:p w14:paraId="18A9A642" w14:textId="4E71B857" w:rsidR="00F81350" w:rsidRPr="00D06950" w:rsidRDefault="00F81350" w:rsidP="00F81350">
      <w:pPr>
        <w:pStyle w:val="Lijstalinea"/>
        <w:numPr>
          <w:ilvl w:val="0"/>
          <w:numId w:val="6"/>
        </w:numPr>
        <w:rPr>
          <w:b/>
        </w:rPr>
      </w:pPr>
      <w:r w:rsidRPr="00D06950">
        <w:rPr>
          <w:b/>
        </w:rPr>
        <w:t>Nieuw beleid</w:t>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873C5E" w:rsidRPr="00D06950">
        <w:rPr>
          <w:b/>
        </w:rPr>
        <w:tab/>
      </w:r>
      <w:r w:rsidR="005D611D" w:rsidRPr="005D611D">
        <w:rPr>
          <w:bCs/>
        </w:rPr>
        <w:t>5</w:t>
      </w:r>
    </w:p>
    <w:p w14:paraId="3F5BFEEE" w14:textId="77777777" w:rsidR="00D06950" w:rsidRPr="00D06950" w:rsidRDefault="00D06950" w:rsidP="00D06950">
      <w:pPr>
        <w:rPr>
          <w:b/>
        </w:rPr>
      </w:pPr>
    </w:p>
    <w:p w14:paraId="474FB8D7" w14:textId="77777777" w:rsidR="00D06950" w:rsidRDefault="00D06950" w:rsidP="00D06950"/>
    <w:p w14:paraId="5872FBC7" w14:textId="77777777" w:rsidR="00F81350" w:rsidRDefault="00F81350" w:rsidP="00F81350"/>
    <w:p w14:paraId="4E31DBCE" w14:textId="1D958A64" w:rsidR="00F81350" w:rsidRDefault="00F81350" w:rsidP="00F81350">
      <w:pPr>
        <w:ind w:left="360"/>
      </w:pPr>
      <w:r w:rsidRPr="00D06950">
        <w:rPr>
          <w:b/>
        </w:rPr>
        <w:t>Bijlage 1: Macro Economische Verkenning 20</w:t>
      </w:r>
      <w:r w:rsidR="006B33D5">
        <w:rPr>
          <w:b/>
        </w:rPr>
        <w:t>20</w:t>
      </w:r>
      <w:r w:rsidRPr="00D06950">
        <w:rPr>
          <w:b/>
        </w:rPr>
        <w:t xml:space="preserve"> Kerngegevens</w:t>
      </w:r>
      <w:r w:rsidR="00873C5E">
        <w:tab/>
      </w:r>
      <w:r w:rsidR="00873C5E">
        <w:tab/>
      </w:r>
      <w:r w:rsidR="00873C5E">
        <w:tab/>
      </w:r>
      <w:r w:rsidR="00873C5E">
        <w:tab/>
      </w:r>
      <w:r w:rsidR="005D611D">
        <w:t>6</w:t>
      </w:r>
    </w:p>
    <w:p w14:paraId="69CA57DB" w14:textId="430CBB1F" w:rsidR="00F81350" w:rsidRDefault="00F81350" w:rsidP="00F81350">
      <w:pPr>
        <w:ind w:left="360"/>
      </w:pPr>
      <w:r w:rsidRPr="00D06950">
        <w:rPr>
          <w:b/>
        </w:rPr>
        <w:t>Bijlage 2: Overzicht gemeentelijke bijdrage 20</w:t>
      </w:r>
      <w:r w:rsidR="00F133FD">
        <w:rPr>
          <w:b/>
        </w:rPr>
        <w:t>2</w:t>
      </w:r>
      <w:r w:rsidR="006B33D5">
        <w:rPr>
          <w:b/>
        </w:rPr>
        <w:t>1</w:t>
      </w:r>
      <w:r w:rsidR="00873C5E">
        <w:tab/>
      </w:r>
      <w:r w:rsidR="00873C5E">
        <w:tab/>
      </w:r>
      <w:r w:rsidR="00873C5E">
        <w:tab/>
      </w:r>
      <w:r w:rsidR="00873C5E">
        <w:tab/>
      </w:r>
      <w:r w:rsidR="00873C5E">
        <w:tab/>
      </w:r>
      <w:r w:rsidR="00873C5E">
        <w:tab/>
      </w:r>
      <w:r w:rsidR="00EC1A51">
        <w:t>9</w:t>
      </w:r>
    </w:p>
    <w:p w14:paraId="5A736F99" w14:textId="4D1C69F0" w:rsidR="008050BD" w:rsidRDefault="008050BD" w:rsidP="00F81350">
      <w:pPr>
        <w:ind w:left="360"/>
      </w:pPr>
      <w:r>
        <w:rPr>
          <w:b/>
        </w:rPr>
        <w:t xml:space="preserve">Bijlage 3: Bijdrage 2021 </w:t>
      </w:r>
      <w:proofErr w:type="spellStart"/>
      <w:r>
        <w:rPr>
          <w:b/>
        </w:rPr>
        <w:t>RHCe</w:t>
      </w:r>
      <w:proofErr w:type="spellEnd"/>
      <w:r>
        <w:rPr>
          <w:b/>
        </w:rPr>
        <w:t>: kostenoverzicht per gemeente</w:t>
      </w:r>
      <w:r>
        <w:rPr>
          <w:b/>
        </w:rPr>
        <w:tab/>
      </w:r>
      <w:r>
        <w:rPr>
          <w:b/>
        </w:rPr>
        <w:tab/>
      </w:r>
      <w:r>
        <w:rPr>
          <w:b/>
        </w:rPr>
        <w:tab/>
      </w:r>
      <w:r>
        <w:rPr>
          <w:b/>
        </w:rPr>
        <w:tab/>
      </w:r>
      <w:r w:rsidRPr="008050BD">
        <w:rPr>
          <w:bCs/>
        </w:rPr>
        <w:t>10</w:t>
      </w:r>
    </w:p>
    <w:p w14:paraId="12996D97" w14:textId="77777777" w:rsidR="002C5DF5" w:rsidRDefault="002C5DF5" w:rsidP="002C5DF5"/>
    <w:p w14:paraId="230DE517" w14:textId="77777777" w:rsidR="002C5DF5" w:rsidRDefault="002C5DF5" w:rsidP="002C5DF5"/>
    <w:p w14:paraId="671A75C6" w14:textId="77777777" w:rsidR="002C5DF5" w:rsidRDefault="002C5DF5" w:rsidP="002C5DF5"/>
    <w:p w14:paraId="7D2525A3" w14:textId="77777777" w:rsidR="002C5DF5" w:rsidRDefault="002C5DF5" w:rsidP="002C5DF5"/>
    <w:p w14:paraId="1521CFF5" w14:textId="77777777" w:rsidR="002C5DF5" w:rsidRDefault="002C5DF5" w:rsidP="002C5DF5"/>
    <w:p w14:paraId="4D33B9A7" w14:textId="77777777" w:rsidR="002C5DF5" w:rsidRDefault="002C5DF5" w:rsidP="002C5DF5"/>
    <w:p w14:paraId="546618BA" w14:textId="77777777" w:rsidR="002C5DF5" w:rsidRDefault="002C5DF5" w:rsidP="002C5DF5"/>
    <w:p w14:paraId="6BCF8856" w14:textId="77777777" w:rsidR="002C5DF5" w:rsidRDefault="002C5DF5" w:rsidP="002C5DF5"/>
    <w:p w14:paraId="13AE333F" w14:textId="77777777" w:rsidR="002C5DF5" w:rsidRDefault="002C5DF5" w:rsidP="002C5DF5"/>
    <w:p w14:paraId="1CF0AFDC" w14:textId="77777777" w:rsidR="002C5DF5" w:rsidRDefault="002C5DF5" w:rsidP="002C5DF5"/>
    <w:p w14:paraId="589758B2" w14:textId="77777777" w:rsidR="002C5DF5" w:rsidRDefault="002C5DF5" w:rsidP="002C5DF5"/>
    <w:p w14:paraId="41329355" w14:textId="77777777" w:rsidR="002C5DF5" w:rsidRDefault="002C5DF5" w:rsidP="002C5DF5"/>
    <w:p w14:paraId="4C4B0895" w14:textId="77777777" w:rsidR="002C5DF5" w:rsidRDefault="002C5DF5" w:rsidP="002C5DF5"/>
    <w:p w14:paraId="75951AC3" w14:textId="77777777" w:rsidR="002C5DF5" w:rsidRDefault="002C5DF5" w:rsidP="002C5DF5"/>
    <w:p w14:paraId="7430947C" w14:textId="77777777" w:rsidR="002C5DF5" w:rsidRDefault="002C5DF5" w:rsidP="002C5DF5"/>
    <w:p w14:paraId="06BD5DC0" w14:textId="77777777" w:rsidR="002C5DF5" w:rsidRDefault="002C5DF5" w:rsidP="002C5DF5"/>
    <w:p w14:paraId="29C2363D" w14:textId="77777777" w:rsidR="002C5DF5" w:rsidRDefault="002C5DF5" w:rsidP="002C5DF5"/>
    <w:p w14:paraId="1AA79170" w14:textId="77777777" w:rsidR="002C5DF5" w:rsidRDefault="002C5DF5" w:rsidP="002C5DF5"/>
    <w:p w14:paraId="29832FE9" w14:textId="77777777" w:rsidR="002C5DF5" w:rsidRDefault="002C5DF5" w:rsidP="002C5DF5"/>
    <w:p w14:paraId="28D1B64B" w14:textId="77777777" w:rsidR="002C5DF5" w:rsidRDefault="002C5DF5" w:rsidP="002C5DF5"/>
    <w:p w14:paraId="104B1B03" w14:textId="77777777" w:rsidR="002C5DF5" w:rsidRDefault="002C5DF5" w:rsidP="002C5DF5"/>
    <w:p w14:paraId="2C580BAC" w14:textId="77777777" w:rsidR="002C5DF5" w:rsidRDefault="002C5DF5" w:rsidP="002C5DF5"/>
    <w:p w14:paraId="48C48732" w14:textId="401AC96F" w:rsidR="002C5DF5" w:rsidRDefault="002C5DF5" w:rsidP="002C5DF5"/>
    <w:p w14:paraId="5EAE71CD" w14:textId="6550B471" w:rsidR="001A2B09" w:rsidRDefault="001A2B09" w:rsidP="002C5DF5"/>
    <w:p w14:paraId="64272D43" w14:textId="4E0057DA" w:rsidR="001A2B09" w:rsidRDefault="001A2B09" w:rsidP="002C5DF5"/>
    <w:p w14:paraId="7E373157" w14:textId="266CCD12" w:rsidR="001A2B09" w:rsidRDefault="001A2B09" w:rsidP="002C5DF5"/>
    <w:p w14:paraId="3703E5C2" w14:textId="2B92227D" w:rsidR="001A2B09" w:rsidRDefault="001A2B09" w:rsidP="002C5DF5"/>
    <w:p w14:paraId="2041D52D" w14:textId="189BE8EE" w:rsidR="001A2B09" w:rsidRDefault="001A2B09" w:rsidP="002C5DF5"/>
    <w:p w14:paraId="3043B42D" w14:textId="77777777" w:rsidR="001A2B09" w:rsidRDefault="001A2B09" w:rsidP="002C5DF5"/>
    <w:p w14:paraId="36836E78" w14:textId="77777777" w:rsidR="002C5DF5" w:rsidRDefault="002C5DF5" w:rsidP="002C5DF5"/>
    <w:p w14:paraId="6B31BB3F" w14:textId="77777777" w:rsidR="002C5DF5" w:rsidRDefault="002C5DF5" w:rsidP="002C5DF5"/>
    <w:p w14:paraId="6DE94EEE" w14:textId="77777777" w:rsidR="002C5DF5" w:rsidRDefault="002C5DF5" w:rsidP="002C5DF5"/>
    <w:p w14:paraId="2A85E1CB" w14:textId="77777777" w:rsidR="002C5DF5" w:rsidRDefault="002C5DF5" w:rsidP="002C5DF5"/>
    <w:p w14:paraId="7F0F0944" w14:textId="77777777" w:rsidR="004126D3" w:rsidRPr="007D7AFD" w:rsidRDefault="004126D3" w:rsidP="007D7AFD">
      <w:pPr>
        <w:pStyle w:val="Kop1"/>
      </w:pPr>
      <w:r w:rsidRPr="007D7AFD">
        <w:lastRenderedPageBreak/>
        <w:t>1. Algemeen</w:t>
      </w:r>
      <w:bookmarkEnd w:id="0"/>
    </w:p>
    <w:p w14:paraId="7EE3656B" w14:textId="77777777" w:rsidR="004126D3" w:rsidRDefault="004126D3" w:rsidP="004126D3"/>
    <w:p w14:paraId="74B6B37A" w14:textId="77777777" w:rsidR="0079150D" w:rsidRDefault="00C508E9" w:rsidP="0079150D">
      <w:pPr>
        <w:tabs>
          <w:tab w:val="left" w:pos="1993"/>
          <w:tab w:val="left" w:pos="2277"/>
        </w:tabs>
      </w:pPr>
      <w:r>
        <w:t xml:space="preserve">De (financiële) uitgangspunten welke gehanteerd worden bij het </w:t>
      </w:r>
      <w:r w:rsidR="0079150D" w:rsidRPr="007B2129">
        <w:t xml:space="preserve">opstellen van de begroting </w:t>
      </w:r>
      <w:r w:rsidR="0079150D">
        <w:t>van de Metropoolregio Eindhoven</w:t>
      </w:r>
      <w:r w:rsidR="0079150D" w:rsidRPr="007B2129">
        <w:t xml:space="preserve"> worden jaarlijks </w:t>
      </w:r>
      <w:r>
        <w:t>vastgesteld in de kadernota</w:t>
      </w:r>
      <w:r w:rsidR="0079150D" w:rsidRPr="007B2129">
        <w:t xml:space="preserve">. </w:t>
      </w:r>
      <w:r w:rsidR="002572A2">
        <w:t>D</w:t>
      </w:r>
      <w:r>
        <w:t xml:space="preserve">eze uitgangspunten </w:t>
      </w:r>
      <w:r w:rsidR="002572A2">
        <w:t xml:space="preserve">zijn </w:t>
      </w:r>
      <w:r>
        <w:t>vas</w:t>
      </w:r>
      <w:r w:rsidR="0079150D">
        <w:t xml:space="preserve">tgelegd in de </w:t>
      </w:r>
      <w:r w:rsidR="0079150D" w:rsidRPr="0079150D">
        <w:rPr>
          <w:b/>
        </w:rPr>
        <w:t>Beleidsnotitie Kaders P&amp;C documenten</w:t>
      </w:r>
      <w:r w:rsidR="0079150D" w:rsidRPr="005F5548">
        <w:t xml:space="preserve"> welke</w:t>
      </w:r>
      <w:r w:rsidR="0079150D">
        <w:t xml:space="preserve"> door de vier gemeenschappelijke regelingen Omgevingsdienst Zuidoost Brabant, GGD Zuidoost Brabant, Veiligheidsregio Brabant Zuidoost en de Metropoolregio Eindhoven</w:t>
      </w:r>
      <w:r w:rsidR="002572A2">
        <w:t xml:space="preserve"> in gezamenlijkheid zijn opgesteld</w:t>
      </w:r>
      <w:r w:rsidR="0079150D">
        <w:t>.</w:t>
      </w:r>
    </w:p>
    <w:p w14:paraId="20104808" w14:textId="77777777" w:rsidR="0079150D" w:rsidRDefault="0079150D" w:rsidP="0079150D">
      <w:pPr>
        <w:tabs>
          <w:tab w:val="left" w:pos="1993"/>
          <w:tab w:val="left" w:pos="2277"/>
        </w:tabs>
      </w:pPr>
      <w:r>
        <w:t xml:space="preserve">Toepassing van de uitgangspunten uit de beleidsnotitie </w:t>
      </w:r>
      <w:r w:rsidRPr="005F5548">
        <w:t xml:space="preserve">Kaders P&amp;C documenten </w:t>
      </w:r>
      <w:r>
        <w:t xml:space="preserve">leidt tot eenzelfde indexeringssystematiek van de gemeentelijke bijdrage voor deze vier GR-en. </w:t>
      </w:r>
    </w:p>
    <w:p w14:paraId="2BA8265C" w14:textId="77777777" w:rsidR="004126D3" w:rsidRDefault="004126D3" w:rsidP="004126D3"/>
    <w:p w14:paraId="6CD46DE3" w14:textId="77777777" w:rsidR="004126D3" w:rsidRPr="007D7AFD" w:rsidRDefault="00183963" w:rsidP="004126D3">
      <w:pPr>
        <w:rPr>
          <w:b/>
          <w:color w:val="00B0F0"/>
        </w:rPr>
      </w:pPr>
      <w:r>
        <w:rPr>
          <w:b/>
          <w:color w:val="00B0F0"/>
        </w:rPr>
        <w:t>Loon en p</w:t>
      </w:r>
      <w:r w:rsidR="007D7AFD">
        <w:rPr>
          <w:b/>
          <w:color w:val="00B0F0"/>
        </w:rPr>
        <w:t>rijsmutaties</w:t>
      </w:r>
    </w:p>
    <w:p w14:paraId="2C888ED5" w14:textId="77777777" w:rsidR="00E23269" w:rsidRDefault="00E23269" w:rsidP="004126D3"/>
    <w:p w14:paraId="0DDC547A" w14:textId="77777777" w:rsidR="00653633" w:rsidRDefault="004126D3" w:rsidP="004126D3">
      <w:r>
        <w:t xml:space="preserve">De indexering </w:t>
      </w:r>
      <w:r w:rsidR="00B12103">
        <w:t xml:space="preserve">van de </w:t>
      </w:r>
      <w:r w:rsidR="00FA42AF">
        <w:t xml:space="preserve">gemeentelijke bijdrage voor regionale opgaven </w:t>
      </w:r>
      <w:r w:rsidR="00D06950">
        <w:t xml:space="preserve">en het </w:t>
      </w:r>
      <w:proofErr w:type="spellStart"/>
      <w:r w:rsidR="00D06950">
        <w:t>RHCe</w:t>
      </w:r>
      <w:proofErr w:type="spellEnd"/>
      <w:r w:rsidR="00D06950">
        <w:t xml:space="preserve"> </w:t>
      </w:r>
      <w:r>
        <w:t>wordt vastgesteld met behulp van ramingen die het Centraal Planbureau (CPB) publiceert in de Macro Economische verkenning</w:t>
      </w:r>
      <w:r w:rsidR="00653633">
        <w:t>.</w:t>
      </w:r>
    </w:p>
    <w:p w14:paraId="58A190A7" w14:textId="77777777" w:rsidR="004126D3" w:rsidRDefault="004126D3" w:rsidP="004126D3">
      <w:r>
        <w:t xml:space="preserve"> </w:t>
      </w:r>
      <w:r>
        <w:br/>
        <w:t>Het gaat hierbij om de volgende indicatoren:</w:t>
      </w:r>
    </w:p>
    <w:p w14:paraId="493749AF" w14:textId="77777777" w:rsidR="00E23269" w:rsidRDefault="00E23269" w:rsidP="004126D3"/>
    <w:p w14:paraId="69129171" w14:textId="77777777" w:rsidR="003F26C6" w:rsidRDefault="003F26C6" w:rsidP="00E23269">
      <w:pPr>
        <w:pStyle w:val="Lijstalinea"/>
        <w:numPr>
          <w:ilvl w:val="0"/>
          <w:numId w:val="3"/>
        </w:numPr>
      </w:pPr>
      <w:r>
        <w:t>Loonvoet sector overheid</w:t>
      </w:r>
    </w:p>
    <w:p w14:paraId="08629836" w14:textId="77777777" w:rsidR="004126D3" w:rsidRDefault="003F26C6" w:rsidP="003F26C6">
      <w:pPr>
        <w:pStyle w:val="Lijstalinea"/>
        <w:numPr>
          <w:ilvl w:val="0"/>
          <w:numId w:val="3"/>
        </w:numPr>
      </w:pPr>
      <w:r>
        <w:t>P</w:t>
      </w:r>
      <w:r w:rsidR="004126D3">
        <w:t>rijs netto materiële overheidsconsumptie (IMOC)</w:t>
      </w:r>
    </w:p>
    <w:p w14:paraId="49760245" w14:textId="77777777" w:rsidR="004126D3" w:rsidRDefault="004126D3" w:rsidP="004126D3"/>
    <w:p w14:paraId="4F41E2D0" w14:textId="77777777" w:rsidR="00176A27" w:rsidRDefault="00183963" w:rsidP="004126D3">
      <w:pPr>
        <w:rPr>
          <w:szCs w:val="20"/>
        </w:rPr>
      </w:pPr>
      <w:r>
        <w:rPr>
          <w:szCs w:val="20"/>
        </w:rPr>
        <w:t xml:space="preserve">De wegingsfactor van de indices wordt bepaald door de verdeling van de totale lasten in de begroting van de </w:t>
      </w:r>
      <w:r w:rsidR="00B12103">
        <w:rPr>
          <w:szCs w:val="20"/>
        </w:rPr>
        <w:t>gemeenschappelijke regeling</w:t>
      </w:r>
      <w:r>
        <w:rPr>
          <w:szCs w:val="20"/>
        </w:rPr>
        <w:t xml:space="preserve"> over prijzen en lonen. Door de wegingsfactor te vermenigvuldigen met de index wordt een gewogen index verkregen. Voor de Metropoolregio Eindhoven geldt een wegingsfactor van loon 90% </w:t>
      </w:r>
      <w:r w:rsidR="00176A27">
        <w:rPr>
          <w:szCs w:val="20"/>
        </w:rPr>
        <w:t>- prijs 10%.</w:t>
      </w:r>
    </w:p>
    <w:p w14:paraId="2DA725EC" w14:textId="77777777" w:rsidR="00143341" w:rsidRDefault="00143341" w:rsidP="004126D3">
      <w:r>
        <w:t xml:space="preserve">In de bijlage </w:t>
      </w:r>
      <w:r w:rsidR="00DA4FE4">
        <w:t xml:space="preserve">1 </w:t>
      </w:r>
      <w:r>
        <w:t>treft u de cijfers aan zoals deze door het CPB zijn gepresenteerd in de Marco Economische Verkenning 20</w:t>
      </w:r>
      <w:r w:rsidR="002572A2">
        <w:t>20</w:t>
      </w:r>
      <w:r>
        <w:t>.</w:t>
      </w:r>
    </w:p>
    <w:p w14:paraId="006698D8" w14:textId="77777777" w:rsidR="00143341" w:rsidRDefault="00143341" w:rsidP="004126D3"/>
    <w:p w14:paraId="7B023C3B" w14:textId="77777777" w:rsidR="004126D3" w:rsidRPr="007D7AFD" w:rsidRDefault="007D7AFD" w:rsidP="004126D3">
      <w:pPr>
        <w:rPr>
          <w:b/>
          <w:color w:val="00B0F0"/>
        </w:rPr>
      </w:pPr>
      <w:r w:rsidRPr="007D7AFD">
        <w:rPr>
          <w:b/>
          <w:color w:val="00B0F0"/>
        </w:rPr>
        <w:t>Nacalculatie</w:t>
      </w:r>
    </w:p>
    <w:p w14:paraId="1FCD9242" w14:textId="77777777" w:rsidR="00E84B75" w:rsidRDefault="00E84B75" w:rsidP="004126D3"/>
    <w:p w14:paraId="2C70A25A" w14:textId="77777777" w:rsidR="004177B6" w:rsidRDefault="00D46F09" w:rsidP="004126D3">
      <w:r>
        <w:t xml:space="preserve">Conform de </w:t>
      </w:r>
      <w:r w:rsidR="00653633">
        <w:t xml:space="preserve">Beleidsnotitie Kaders P&amp;C documenten van de 4 GR-en </w:t>
      </w:r>
      <w:r>
        <w:t>(p</w:t>
      </w:r>
      <w:r w:rsidR="00653633">
        <w:t xml:space="preserve">aragraaf 2.2.1 </w:t>
      </w:r>
      <w:r>
        <w:t xml:space="preserve">Indexering) wordt </w:t>
      </w:r>
      <w:r w:rsidR="00653633">
        <w:t>geen na</w:t>
      </w:r>
      <w:r>
        <w:t xml:space="preserve">calculatie toegepast </w:t>
      </w:r>
      <w:r w:rsidR="00653633">
        <w:t xml:space="preserve">op de indexering. </w:t>
      </w:r>
    </w:p>
    <w:p w14:paraId="78112F42" w14:textId="77777777" w:rsidR="00653633" w:rsidRDefault="00653633" w:rsidP="004126D3"/>
    <w:p w14:paraId="464EEBA4" w14:textId="77777777" w:rsidR="004177B6" w:rsidRPr="007D7AFD" w:rsidRDefault="007D7AFD" w:rsidP="004177B6">
      <w:pPr>
        <w:rPr>
          <w:b/>
          <w:color w:val="00B0F0"/>
        </w:rPr>
      </w:pPr>
      <w:r w:rsidRPr="007D7AFD">
        <w:rPr>
          <w:b/>
          <w:color w:val="00B0F0"/>
        </w:rPr>
        <w:t>Compensatie toename inwonertal</w:t>
      </w:r>
    </w:p>
    <w:p w14:paraId="5CB2C55F" w14:textId="77777777" w:rsidR="007D15B1" w:rsidRDefault="007D15B1" w:rsidP="004126D3"/>
    <w:p w14:paraId="514AC2B3" w14:textId="77777777" w:rsidR="00D032FD" w:rsidRDefault="00D032FD" w:rsidP="00D032FD">
      <w:r>
        <w:t>Conform de Beleidsnotitie Kaders P&amp;C documenten van de 4 GR-en (paragraaf 2.2.2 Indexering over de gemeentelijke bijdrage) wordt er geen autonome groei van budgetten meegenomen. Dit betekent dat ook de nacalculatiecomponent op inwoneraantallen door de Metropoolregio Eindhoven wordt losgelaten.</w:t>
      </w:r>
    </w:p>
    <w:p w14:paraId="3C1C2A2A" w14:textId="77777777" w:rsidR="004126D3" w:rsidRPr="00517525" w:rsidRDefault="004177B6" w:rsidP="004126D3">
      <w:pPr>
        <w:rPr>
          <w:b/>
        </w:rPr>
      </w:pPr>
      <w:r>
        <w:t xml:space="preserve"> </w:t>
      </w:r>
      <w:r>
        <w:br/>
      </w:r>
      <w:r w:rsidR="00F81350">
        <w:rPr>
          <w:b/>
          <w:color w:val="00B0F0"/>
        </w:rPr>
        <w:t xml:space="preserve">Gemeentelijke </w:t>
      </w:r>
      <w:r w:rsidR="005702A8">
        <w:rPr>
          <w:b/>
          <w:color w:val="00B0F0"/>
        </w:rPr>
        <w:t>bijdrage Brainport Development</w:t>
      </w:r>
      <w:r w:rsidR="007D7AFD">
        <w:rPr>
          <w:b/>
          <w:color w:val="00B0F0"/>
        </w:rPr>
        <w:t xml:space="preserve"> </w:t>
      </w:r>
    </w:p>
    <w:p w14:paraId="1F8A5EA2" w14:textId="77777777" w:rsidR="005702A8" w:rsidRDefault="005702A8" w:rsidP="004126D3"/>
    <w:p w14:paraId="066D4A0D" w14:textId="77777777" w:rsidR="00F10C74" w:rsidRDefault="00F10C74" w:rsidP="004126D3">
      <w:r w:rsidRPr="00F10C74">
        <w:t xml:space="preserve">In 2020 zal aan het </w:t>
      </w:r>
      <w:r w:rsidR="005702A8" w:rsidRPr="00F10C74">
        <w:t xml:space="preserve">Algemeen Bestuur van de Metropoolregio Eindhoven </w:t>
      </w:r>
      <w:r w:rsidRPr="00F10C74">
        <w:t xml:space="preserve">een nieuwe </w:t>
      </w:r>
      <w:proofErr w:type="spellStart"/>
      <w:r w:rsidRPr="00F10C74">
        <w:t>meerjarenfinancieringsovereenkomst</w:t>
      </w:r>
      <w:proofErr w:type="spellEnd"/>
      <w:r w:rsidRPr="00F10C74">
        <w:t xml:space="preserve"> 2021-2023 </w:t>
      </w:r>
      <w:r w:rsidR="005702A8" w:rsidRPr="00F10C74">
        <w:t xml:space="preserve">Brainport Development </w:t>
      </w:r>
      <w:r w:rsidRPr="00F10C74">
        <w:t xml:space="preserve">ter besluitvorming worden </w:t>
      </w:r>
      <w:r>
        <w:t>voor</w:t>
      </w:r>
      <w:r w:rsidRPr="00F10C74">
        <w:t>gelegd</w:t>
      </w:r>
      <w:r w:rsidR="005702A8" w:rsidRPr="00F10C74">
        <w:t xml:space="preserve">. </w:t>
      </w:r>
      <w:r w:rsidRPr="00F10C74">
        <w:t xml:space="preserve">Vooralsnog wordt in deze Kadernota uitgegaan van de vaste jaarlijkse bijdrage van </w:t>
      </w:r>
    </w:p>
    <w:p w14:paraId="032F36DD" w14:textId="2FE03D8E" w:rsidR="001B37DC" w:rsidRDefault="00F10C74" w:rsidP="004126D3">
      <w:r w:rsidRPr="00F10C74">
        <w:t xml:space="preserve">€ 1.915.802 uit de periode 2017-2020. Indien de bijdrage </w:t>
      </w:r>
      <w:r>
        <w:t xml:space="preserve">in de nieuwe periode </w:t>
      </w:r>
      <w:r w:rsidRPr="00F10C74">
        <w:t>hier van afwijkt, zal dit in de begroting worden aangepast.</w:t>
      </w:r>
      <w:r w:rsidR="00517525">
        <w:br/>
      </w:r>
      <w:r w:rsidR="00517525">
        <w:br/>
      </w:r>
      <w:r w:rsidR="00FA42AF">
        <w:rPr>
          <w:b/>
          <w:color w:val="00B0F0"/>
        </w:rPr>
        <w:t>Gemeentelijke bijdrage Stimuleringsfonds</w:t>
      </w:r>
    </w:p>
    <w:p w14:paraId="4558602D" w14:textId="77777777" w:rsidR="001B37DC" w:rsidRDefault="001B37DC" w:rsidP="004126D3"/>
    <w:p w14:paraId="6A6E7869" w14:textId="59EC7E5F" w:rsidR="001B37DC" w:rsidRDefault="00FA42AF" w:rsidP="004126D3">
      <w:r>
        <w:t xml:space="preserve">De gemeentelijke bijdrage </w:t>
      </w:r>
      <w:r w:rsidR="004F026B">
        <w:t>20</w:t>
      </w:r>
      <w:r w:rsidR="00F05EEB">
        <w:t>2</w:t>
      </w:r>
      <w:r w:rsidR="002572A2">
        <w:t>1</w:t>
      </w:r>
      <w:r w:rsidR="004F026B">
        <w:t xml:space="preserve"> </w:t>
      </w:r>
      <w:r>
        <w:t>voor het Stimuleringsfonds wordt conform vigerend beleid niet geïndexeerd en blijft gehandhaafd op € 3,554 per inwoner.</w:t>
      </w:r>
      <w:r w:rsidR="00E848CF">
        <w:t xml:space="preserve"> Een stijging of daling van het aantal inwoners wordt wel meegenomen in de berekening van de bijdrage.</w:t>
      </w:r>
    </w:p>
    <w:p w14:paraId="60B8F78C" w14:textId="6A0D8A72" w:rsidR="001D45ED" w:rsidRDefault="001D45ED" w:rsidP="004126D3"/>
    <w:p w14:paraId="2485191F" w14:textId="21218EB5" w:rsidR="001D45ED" w:rsidRDefault="001D45ED" w:rsidP="004126D3"/>
    <w:p w14:paraId="1F6C846E" w14:textId="21213F2A" w:rsidR="001D45ED" w:rsidRDefault="001D45ED" w:rsidP="004126D3"/>
    <w:p w14:paraId="1380E183" w14:textId="52581B5B" w:rsidR="001D45ED" w:rsidRDefault="001D45ED" w:rsidP="004126D3"/>
    <w:p w14:paraId="191E57D0" w14:textId="3C1B93AA" w:rsidR="001D45ED" w:rsidRDefault="001D45ED" w:rsidP="004126D3"/>
    <w:p w14:paraId="08FCB714" w14:textId="62083755" w:rsidR="001D45ED" w:rsidRDefault="001D45ED" w:rsidP="004126D3"/>
    <w:p w14:paraId="703F9324" w14:textId="77777777" w:rsidR="001D45ED" w:rsidRDefault="001D45ED" w:rsidP="004126D3"/>
    <w:p w14:paraId="48A627D9" w14:textId="567D282D" w:rsidR="001D45ED" w:rsidRPr="001D45ED" w:rsidRDefault="001D45ED" w:rsidP="004126D3">
      <w:pPr>
        <w:rPr>
          <w:b/>
          <w:color w:val="00B0F0"/>
        </w:rPr>
      </w:pPr>
      <w:r w:rsidRPr="001D45ED">
        <w:rPr>
          <w:b/>
          <w:color w:val="00B0F0"/>
        </w:rPr>
        <w:lastRenderedPageBreak/>
        <w:t xml:space="preserve">Gemeentelijke bijdrage </w:t>
      </w:r>
      <w:proofErr w:type="spellStart"/>
      <w:r w:rsidRPr="001D45ED">
        <w:rPr>
          <w:b/>
          <w:color w:val="00B0F0"/>
        </w:rPr>
        <w:t>RHCe</w:t>
      </w:r>
      <w:proofErr w:type="spellEnd"/>
    </w:p>
    <w:p w14:paraId="1A7B3B63" w14:textId="04A2142B" w:rsidR="001D45ED" w:rsidRDefault="001D45ED" w:rsidP="004126D3"/>
    <w:p w14:paraId="4D466944" w14:textId="77777777" w:rsidR="00136B15" w:rsidRDefault="001D45ED" w:rsidP="004126D3">
      <w:r>
        <w:t xml:space="preserve">De gemeentelijke bijdrage </w:t>
      </w:r>
      <w:proofErr w:type="spellStart"/>
      <w:r>
        <w:t>RHCe</w:t>
      </w:r>
      <w:proofErr w:type="spellEnd"/>
      <w:r>
        <w:t xml:space="preserve"> wordt voor wat betreft de kosten met betrekking tot  archiefbewaarplaats/depot verrekend op basis van </w:t>
      </w:r>
      <w:r w:rsidR="00136B15">
        <w:t xml:space="preserve">door gemeenten benutte </w:t>
      </w:r>
      <w:r>
        <w:t xml:space="preserve">strekkende meters. </w:t>
      </w:r>
    </w:p>
    <w:p w14:paraId="053FBE73" w14:textId="6CAD3E92" w:rsidR="001D45ED" w:rsidRDefault="001D45ED" w:rsidP="004126D3">
      <w:r>
        <w:t xml:space="preserve">De kosten voor de overige diensten/producten </w:t>
      </w:r>
      <w:r w:rsidR="00136B15">
        <w:t xml:space="preserve">en de kosten infrastructuur/consultancy voor de Digitale Duurzame Opslagvoorziening </w:t>
      </w:r>
      <w:r>
        <w:t xml:space="preserve">worden </w:t>
      </w:r>
      <w:r w:rsidR="00136B15">
        <w:t xml:space="preserve">toegerekend </w:t>
      </w:r>
      <w:r>
        <w:t>op basis van inwoneraantal</w:t>
      </w:r>
      <w:r w:rsidR="00136B15">
        <w:t>.</w:t>
      </w:r>
    </w:p>
    <w:p w14:paraId="405D678E" w14:textId="4D06454E" w:rsidR="00136B15" w:rsidRDefault="00136B15" w:rsidP="004126D3">
      <w:r>
        <w:t>De opslagkosten van de Digitale Duurzame Opslagvoorziening worden toegerekend op basis van werkelijk verbruik.</w:t>
      </w:r>
    </w:p>
    <w:p w14:paraId="12693B1D" w14:textId="77777777" w:rsidR="001D45ED" w:rsidRDefault="001D45ED" w:rsidP="004126D3"/>
    <w:p w14:paraId="6F284F87" w14:textId="77777777" w:rsidR="004126D3" w:rsidRPr="00ED47ED" w:rsidRDefault="004126D3" w:rsidP="007D7AFD">
      <w:pPr>
        <w:pStyle w:val="Kop1"/>
      </w:pPr>
      <w:bookmarkStart w:id="2" w:name="_Toc307914145"/>
      <w:r>
        <w:t>2</w:t>
      </w:r>
      <w:r w:rsidRPr="00ED47ED">
        <w:t>. Indexering gemeentelijke bijdrage</w:t>
      </w:r>
      <w:bookmarkEnd w:id="2"/>
    </w:p>
    <w:p w14:paraId="787FEB65" w14:textId="77777777" w:rsidR="00115C9B" w:rsidRDefault="006F1FCB" w:rsidP="00B45453">
      <w:r>
        <w:br/>
      </w:r>
      <w:r w:rsidR="00C03F0C" w:rsidRPr="003F26C6">
        <w:rPr>
          <w:b/>
          <w:color w:val="00B0F0"/>
        </w:rPr>
        <w:t>Historie</w:t>
      </w:r>
      <w:r w:rsidR="00C03F0C">
        <w:br/>
      </w:r>
    </w:p>
    <w:p w14:paraId="5E767D8C" w14:textId="77777777" w:rsidR="004126D3" w:rsidRDefault="00115C9B" w:rsidP="00B45453">
      <w:r w:rsidRPr="004A3970">
        <w:t xml:space="preserve">Met uitzondering van het jaar 2013 (2,33%) is de inwonerbijdrage in de periode 2010 tot en met 2016 niet geïndexeerd ter compensatie van de inflatie. In 2017 </w:t>
      </w:r>
      <w:r w:rsidR="003F26C6" w:rsidRPr="004A3970">
        <w:t xml:space="preserve">is een </w:t>
      </w:r>
      <w:r w:rsidR="001B37DC" w:rsidRPr="004A3970">
        <w:t>indexering toegepast van 2,07%</w:t>
      </w:r>
      <w:r w:rsidR="005A1E3C">
        <w:t>, in 2018 1,34%, in 2019 2,57%</w:t>
      </w:r>
      <w:r w:rsidR="00544E1F">
        <w:t xml:space="preserve"> en 2020 3,22%.</w:t>
      </w:r>
    </w:p>
    <w:p w14:paraId="02BB4771" w14:textId="77777777" w:rsidR="00115C9B" w:rsidRDefault="00115C9B" w:rsidP="00B45453"/>
    <w:p w14:paraId="65B07CE3" w14:textId="77777777" w:rsidR="003F26C6" w:rsidRPr="003F26C6" w:rsidRDefault="003F26C6" w:rsidP="00B45453">
      <w:pPr>
        <w:rPr>
          <w:b/>
          <w:color w:val="00B0F0"/>
        </w:rPr>
      </w:pPr>
      <w:r w:rsidRPr="003F26C6">
        <w:rPr>
          <w:b/>
          <w:color w:val="00B0F0"/>
        </w:rPr>
        <w:t xml:space="preserve">Indexering </w:t>
      </w:r>
      <w:r w:rsidR="00F81350">
        <w:rPr>
          <w:b/>
          <w:color w:val="00B0F0"/>
        </w:rPr>
        <w:t xml:space="preserve">gemeentelijke </w:t>
      </w:r>
      <w:r>
        <w:rPr>
          <w:b/>
          <w:color w:val="00B0F0"/>
        </w:rPr>
        <w:t xml:space="preserve">bijdrage Begroting </w:t>
      </w:r>
      <w:r w:rsidRPr="003F26C6">
        <w:rPr>
          <w:b/>
          <w:color w:val="00B0F0"/>
        </w:rPr>
        <w:t>20</w:t>
      </w:r>
      <w:r w:rsidR="005A1E3C">
        <w:rPr>
          <w:b/>
          <w:color w:val="00B0F0"/>
        </w:rPr>
        <w:t>20</w:t>
      </w:r>
    </w:p>
    <w:p w14:paraId="3EB3EB35" w14:textId="77777777" w:rsidR="003F26C6" w:rsidRDefault="003F26C6" w:rsidP="00B45453"/>
    <w:p w14:paraId="17531976" w14:textId="11D8BB7D" w:rsidR="003F26C6" w:rsidRDefault="003F26C6" w:rsidP="003F26C6">
      <w:pPr>
        <w:rPr>
          <w:szCs w:val="20"/>
        </w:rPr>
      </w:pPr>
      <w:r>
        <w:t>Op basis van de cijfers zoals gepubliceerd in de Macro Economische Verkenningen 20</w:t>
      </w:r>
      <w:r w:rsidR="00544E1F">
        <w:t>20</w:t>
      </w:r>
      <w:r>
        <w:t xml:space="preserve"> en de </w:t>
      </w:r>
      <w:r w:rsidR="00674603">
        <w:t xml:space="preserve">uitgangspunten zoals deze zijn opgenomen in de </w:t>
      </w:r>
      <w:r w:rsidR="00674603" w:rsidRPr="00E94B83">
        <w:rPr>
          <w:b/>
        </w:rPr>
        <w:t>Beleidsnotitie Kaders P&amp;C documenten</w:t>
      </w:r>
      <w:r w:rsidR="00674603">
        <w:t xml:space="preserve">, stellen </w:t>
      </w:r>
      <w:r w:rsidR="00674603" w:rsidRPr="00D939A7">
        <w:t>wi</w:t>
      </w:r>
      <w:r w:rsidRPr="00D939A7">
        <w:rPr>
          <w:szCs w:val="20"/>
        </w:rPr>
        <w:t xml:space="preserve">j u voor de </w:t>
      </w:r>
      <w:r w:rsidR="004F42B2" w:rsidRPr="00D939A7">
        <w:rPr>
          <w:szCs w:val="20"/>
        </w:rPr>
        <w:t>gemeentelijke bijdrage 20</w:t>
      </w:r>
      <w:r w:rsidR="005A1E3C" w:rsidRPr="00D939A7">
        <w:rPr>
          <w:szCs w:val="20"/>
        </w:rPr>
        <w:t>2</w:t>
      </w:r>
      <w:r w:rsidR="00544E1F">
        <w:rPr>
          <w:szCs w:val="20"/>
        </w:rPr>
        <w:t>1</w:t>
      </w:r>
      <w:r w:rsidR="004F42B2" w:rsidRPr="00D939A7">
        <w:rPr>
          <w:szCs w:val="20"/>
        </w:rPr>
        <w:t xml:space="preserve"> voor regionale opgaven </w:t>
      </w:r>
      <w:r w:rsidR="00D06950" w:rsidRPr="00D939A7">
        <w:rPr>
          <w:szCs w:val="20"/>
        </w:rPr>
        <w:t xml:space="preserve">en het </w:t>
      </w:r>
      <w:proofErr w:type="spellStart"/>
      <w:r w:rsidR="00D06950" w:rsidRPr="00D939A7">
        <w:rPr>
          <w:szCs w:val="20"/>
        </w:rPr>
        <w:t>RHCe</w:t>
      </w:r>
      <w:proofErr w:type="spellEnd"/>
      <w:r w:rsidR="00D06950" w:rsidRPr="00D939A7">
        <w:rPr>
          <w:szCs w:val="20"/>
        </w:rPr>
        <w:t xml:space="preserve"> </w:t>
      </w:r>
      <w:r w:rsidRPr="00D939A7">
        <w:rPr>
          <w:szCs w:val="20"/>
        </w:rPr>
        <w:t xml:space="preserve">met </w:t>
      </w:r>
      <w:r w:rsidR="00544E1F" w:rsidRPr="005134F0">
        <w:rPr>
          <w:szCs w:val="20"/>
        </w:rPr>
        <w:t>2</w:t>
      </w:r>
      <w:r w:rsidR="00A9461A" w:rsidRPr="005134F0">
        <w:rPr>
          <w:szCs w:val="20"/>
        </w:rPr>
        <w:t>,</w:t>
      </w:r>
      <w:r w:rsidR="005134F0" w:rsidRPr="005134F0">
        <w:rPr>
          <w:szCs w:val="20"/>
        </w:rPr>
        <w:t>68</w:t>
      </w:r>
      <w:r w:rsidR="00A9461A" w:rsidRPr="00D939A7">
        <w:rPr>
          <w:szCs w:val="20"/>
        </w:rPr>
        <w:t>% te indexeren.</w:t>
      </w:r>
    </w:p>
    <w:p w14:paraId="6A048919" w14:textId="77777777" w:rsidR="003F26C6" w:rsidRDefault="003F26C6" w:rsidP="00B45453"/>
    <w:p w14:paraId="4B0C7DFD" w14:textId="77777777" w:rsidR="003F26C6" w:rsidRDefault="00FB0133" w:rsidP="00B45453">
      <w:r w:rsidRPr="004708E2">
        <w:rPr>
          <w:b/>
          <w:noProof/>
          <w:color w:val="00B0F0"/>
          <w:szCs w:val="20"/>
        </w:rPr>
        <mc:AlternateContent>
          <mc:Choice Requires="wps">
            <w:drawing>
              <wp:anchor distT="0" distB="0" distL="114300" distR="114300" simplePos="0" relativeHeight="251659264" behindDoc="0" locked="0" layoutInCell="1" allowOverlap="1" wp14:anchorId="44340A5C" wp14:editId="1B7E4484">
                <wp:simplePos x="0" y="0"/>
                <wp:positionH relativeFrom="margin">
                  <wp:posOffset>-7951</wp:posOffset>
                </wp:positionH>
                <wp:positionV relativeFrom="paragraph">
                  <wp:posOffset>82549</wp:posOffset>
                </wp:positionV>
                <wp:extent cx="5905500" cy="2226365"/>
                <wp:effectExtent l="0" t="0" r="19050" b="2159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26365"/>
                        </a:xfrm>
                        <a:prstGeom prst="rect">
                          <a:avLst/>
                        </a:prstGeom>
                        <a:solidFill>
                          <a:srgbClr val="9BBB59">
                            <a:lumMod val="20000"/>
                            <a:lumOff val="80000"/>
                          </a:srgbClr>
                        </a:solidFill>
                        <a:ln w="9525">
                          <a:solidFill>
                            <a:srgbClr val="000000"/>
                          </a:solidFill>
                          <a:miter lim="800000"/>
                          <a:headEnd/>
                          <a:tailEnd/>
                        </a:ln>
                      </wps:spPr>
                      <wps:txbx>
                        <w:txbxContent>
                          <w:p w14:paraId="776F7397" w14:textId="77777777" w:rsidR="003F26C6" w:rsidRDefault="003F26C6" w:rsidP="003F26C6">
                            <w:pPr>
                              <w:pStyle w:val="Default"/>
                              <w:rPr>
                                <w:b/>
                                <w:bCs/>
                                <w:color w:val="00B0F0"/>
                                <w:sz w:val="20"/>
                                <w:szCs w:val="20"/>
                              </w:rPr>
                            </w:pPr>
                          </w:p>
                          <w:p w14:paraId="09B25747" w14:textId="77777777" w:rsidR="003F26C6" w:rsidRDefault="003F26C6" w:rsidP="003F26C6">
                            <w:pPr>
                              <w:pStyle w:val="Geenafstand"/>
                              <w:rPr>
                                <w:rFonts w:ascii="Arial" w:hAnsi="Arial" w:cs="Arial"/>
                                <w:sz w:val="20"/>
                                <w:szCs w:val="20"/>
                              </w:rPr>
                            </w:pPr>
                          </w:p>
                          <w:tbl>
                            <w:tblPr>
                              <w:tblW w:w="7280" w:type="dxa"/>
                              <w:tblCellMar>
                                <w:left w:w="70" w:type="dxa"/>
                                <w:right w:w="70" w:type="dxa"/>
                              </w:tblCellMar>
                              <w:tblLook w:val="04A0" w:firstRow="1" w:lastRow="0" w:firstColumn="1" w:lastColumn="0" w:noHBand="0" w:noVBand="1"/>
                            </w:tblPr>
                            <w:tblGrid>
                              <w:gridCol w:w="4280"/>
                              <w:gridCol w:w="880"/>
                              <w:gridCol w:w="1060"/>
                              <w:gridCol w:w="1060"/>
                            </w:tblGrid>
                            <w:tr w:rsidR="00544E1F" w:rsidRPr="00544E1F" w14:paraId="12499B39" w14:textId="77777777" w:rsidTr="00544E1F">
                              <w:trPr>
                                <w:trHeight w:val="255"/>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AF62B" w14:textId="77777777" w:rsidR="00544E1F" w:rsidRPr="00544E1F" w:rsidRDefault="00544E1F" w:rsidP="00544E1F">
                                  <w:pPr>
                                    <w:rPr>
                                      <w:b/>
                                      <w:bCs/>
                                      <w:szCs w:val="20"/>
                                    </w:rPr>
                                  </w:pPr>
                                  <w:r w:rsidRPr="00544E1F">
                                    <w:rPr>
                                      <w:b/>
                                      <w:bCs/>
                                      <w:szCs w:val="20"/>
                                    </w:rPr>
                                    <w:t>Begroting</w:t>
                                  </w:r>
                                </w:p>
                              </w:tc>
                              <w:tc>
                                <w:tcPr>
                                  <w:tcW w:w="880" w:type="dxa"/>
                                  <w:tcBorders>
                                    <w:top w:val="single" w:sz="4" w:space="0" w:color="auto"/>
                                    <w:left w:val="nil"/>
                                    <w:bottom w:val="single" w:sz="4" w:space="0" w:color="auto"/>
                                    <w:right w:val="nil"/>
                                  </w:tcBorders>
                                  <w:shd w:val="clear" w:color="000000" w:fill="FFFFFF"/>
                                  <w:noWrap/>
                                  <w:vAlign w:val="bottom"/>
                                  <w:hideMark/>
                                </w:tcPr>
                                <w:p w14:paraId="1A528C04" w14:textId="77777777" w:rsidR="00544E1F" w:rsidRPr="00544E1F" w:rsidRDefault="00544E1F" w:rsidP="00544E1F">
                                  <w:pPr>
                                    <w:jc w:val="center"/>
                                    <w:rPr>
                                      <w:b/>
                                      <w:bCs/>
                                      <w:szCs w:val="20"/>
                                    </w:rPr>
                                  </w:pPr>
                                  <w:r w:rsidRPr="00544E1F">
                                    <w:rPr>
                                      <w:b/>
                                      <w:bCs/>
                                      <w:szCs w:val="20"/>
                                    </w:rPr>
                                    <w:t>Factor</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D2385D" w14:textId="77777777" w:rsidR="00544E1F" w:rsidRPr="00544E1F" w:rsidRDefault="00544E1F" w:rsidP="00544E1F">
                                  <w:pPr>
                                    <w:jc w:val="center"/>
                                    <w:rPr>
                                      <w:b/>
                                      <w:bCs/>
                                      <w:szCs w:val="20"/>
                                    </w:rPr>
                                  </w:pPr>
                                  <w:r w:rsidRPr="00544E1F">
                                    <w:rPr>
                                      <w:b/>
                                      <w:bCs/>
                                      <w:szCs w:val="20"/>
                                    </w:rPr>
                                    <w:t>MEV</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7AC9297D" w14:textId="77777777" w:rsidR="00544E1F" w:rsidRPr="00544E1F" w:rsidRDefault="00544E1F" w:rsidP="00544E1F">
                                  <w:pPr>
                                    <w:jc w:val="center"/>
                                    <w:rPr>
                                      <w:b/>
                                      <w:bCs/>
                                      <w:szCs w:val="20"/>
                                    </w:rPr>
                                  </w:pPr>
                                  <w:r w:rsidRPr="00544E1F">
                                    <w:rPr>
                                      <w:b/>
                                      <w:bCs/>
                                      <w:szCs w:val="20"/>
                                    </w:rPr>
                                    <w:t>2021</w:t>
                                  </w:r>
                                </w:p>
                              </w:tc>
                            </w:tr>
                            <w:tr w:rsidR="00544E1F" w:rsidRPr="00544E1F" w14:paraId="0F0FD868" w14:textId="77777777" w:rsidTr="00544E1F">
                              <w:trPr>
                                <w:trHeight w:val="255"/>
                              </w:trPr>
                              <w:tc>
                                <w:tcPr>
                                  <w:tcW w:w="4280" w:type="dxa"/>
                                  <w:tcBorders>
                                    <w:top w:val="nil"/>
                                    <w:left w:val="single" w:sz="4" w:space="0" w:color="auto"/>
                                    <w:bottom w:val="nil"/>
                                    <w:right w:val="nil"/>
                                  </w:tcBorders>
                                  <w:shd w:val="clear" w:color="000000" w:fill="FFFFFF"/>
                                  <w:noWrap/>
                                  <w:vAlign w:val="bottom"/>
                                  <w:hideMark/>
                                </w:tcPr>
                                <w:p w14:paraId="2CD48218" w14:textId="77777777" w:rsidR="00544E1F" w:rsidRPr="00544E1F" w:rsidRDefault="00544E1F" w:rsidP="00544E1F">
                                  <w:pPr>
                                    <w:rPr>
                                      <w:szCs w:val="20"/>
                                    </w:rPr>
                                  </w:pPr>
                                  <w:r w:rsidRPr="00544E1F">
                                    <w:rPr>
                                      <w:szCs w:val="20"/>
                                    </w:rPr>
                                    <w:t>Loonstijging *</w:t>
                                  </w:r>
                                </w:p>
                              </w:tc>
                              <w:tc>
                                <w:tcPr>
                                  <w:tcW w:w="880" w:type="dxa"/>
                                  <w:tcBorders>
                                    <w:top w:val="nil"/>
                                    <w:left w:val="single" w:sz="4" w:space="0" w:color="auto"/>
                                    <w:bottom w:val="nil"/>
                                    <w:right w:val="nil"/>
                                  </w:tcBorders>
                                  <w:shd w:val="clear" w:color="000000" w:fill="FFFFFF"/>
                                  <w:noWrap/>
                                  <w:vAlign w:val="bottom"/>
                                  <w:hideMark/>
                                </w:tcPr>
                                <w:p w14:paraId="6F8FA8E2" w14:textId="77777777" w:rsidR="00544E1F" w:rsidRPr="00544E1F" w:rsidRDefault="00544E1F" w:rsidP="00544E1F">
                                  <w:pPr>
                                    <w:jc w:val="right"/>
                                    <w:rPr>
                                      <w:szCs w:val="20"/>
                                    </w:rPr>
                                  </w:pPr>
                                  <w:r w:rsidRPr="00544E1F">
                                    <w:rPr>
                                      <w:szCs w:val="20"/>
                                    </w:rPr>
                                    <w:t>90%</w:t>
                                  </w:r>
                                </w:p>
                              </w:tc>
                              <w:tc>
                                <w:tcPr>
                                  <w:tcW w:w="1060" w:type="dxa"/>
                                  <w:tcBorders>
                                    <w:top w:val="nil"/>
                                    <w:left w:val="single" w:sz="4" w:space="0" w:color="auto"/>
                                    <w:bottom w:val="nil"/>
                                    <w:right w:val="single" w:sz="4" w:space="0" w:color="auto"/>
                                  </w:tcBorders>
                                  <w:shd w:val="clear" w:color="000000" w:fill="FFFFFF"/>
                                  <w:noWrap/>
                                  <w:vAlign w:val="bottom"/>
                                  <w:hideMark/>
                                </w:tcPr>
                                <w:p w14:paraId="754EE1F5" w14:textId="7472AB58" w:rsidR="00544E1F" w:rsidRPr="00544E1F" w:rsidRDefault="00544E1F" w:rsidP="00544E1F">
                                  <w:pPr>
                                    <w:jc w:val="right"/>
                                    <w:rPr>
                                      <w:szCs w:val="20"/>
                                    </w:rPr>
                                  </w:pPr>
                                  <w:r w:rsidRPr="00544E1F">
                                    <w:rPr>
                                      <w:szCs w:val="20"/>
                                    </w:rPr>
                                    <w:t>2,</w:t>
                                  </w:r>
                                  <w:r w:rsidR="005134F0">
                                    <w:rPr>
                                      <w:szCs w:val="20"/>
                                    </w:rPr>
                                    <w:t>8</w:t>
                                  </w:r>
                                  <w:r w:rsidRPr="00544E1F">
                                    <w:rPr>
                                      <w:szCs w:val="20"/>
                                    </w:rPr>
                                    <w:t>0%</w:t>
                                  </w:r>
                                </w:p>
                              </w:tc>
                              <w:tc>
                                <w:tcPr>
                                  <w:tcW w:w="1060" w:type="dxa"/>
                                  <w:tcBorders>
                                    <w:top w:val="nil"/>
                                    <w:left w:val="nil"/>
                                    <w:bottom w:val="nil"/>
                                    <w:right w:val="single" w:sz="4" w:space="0" w:color="auto"/>
                                  </w:tcBorders>
                                  <w:shd w:val="clear" w:color="000000" w:fill="FFFFFF"/>
                                  <w:noWrap/>
                                  <w:vAlign w:val="bottom"/>
                                  <w:hideMark/>
                                </w:tcPr>
                                <w:p w14:paraId="6E3F5795" w14:textId="3895103C" w:rsidR="00544E1F" w:rsidRPr="00544E1F" w:rsidRDefault="00544E1F" w:rsidP="00544E1F">
                                  <w:pPr>
                                    <w:jc w:val="right"/>
                                    <w:rPr>
                                      <w:szCs w:val="20"/>
                                    </w:rPr>
                                  </w:pPr>
                                  <w:r w:rsidRPr="00544E1F">
                                    <w:rPr>
                                      <w:szCs w:val="20"/>
                                    </w:rPr>
                                    <w:t>2,</w:t>
                                  </w:r>
                                  <w:r w:rsidR="005134F0">
                                    <w:rPr>
                                      <w:szCs w:val="20"/>
                                    </w:rPr>
                                    <w:t>52</w:t>
                                  </w:r>
                                  <w:r w:rsidRPr="00544E1F">
                                    <w:rPr>
                                      <w:szCs w:val="20"/>
                                    </w:rPr>
                                    <w:t>%</w:t>
                                  </w:r>
                                </w:p>
                              </w:tc>
                            </w:tr>
                            <w:tr w:rsidR="00544E1F" w:rsidRPr="00544E1F" w14:paraId="4009D0B2" w14:textId="77777777" w:rsidTr="00544E1F">
                              <w:trPr>
                                <w:trHeight w:val="255"/>
                              </w:trPr>
                              <w:tc>
                                <w:tcPr>
                                  <w:tcW w:w="4280" w:type="dxa"/>
                                  <w:tcBorders>
                                    <w:top w:val="nil"/>
                                    <w:left w:val="single" w:sz="4" w:space="0" w:color="auto"/>
                                    <w:bottom w:val="nil"/>
                                    <w:right w:val="nil"/>
                                  </w:tcBorders>
                                  <w:shd w:val="clear" w:color="000000" w:fill="FFFFFF"/>
                                  <w:noWrap/>
                                  <w:vAlign w:val="bottom"/>
                                  <w:hideMark/>
                                </w:tcPr>
                                <w:p w14:paraId="6DEDC932" w14:textId="77777777" w:rsidR="00544E1F" w:rsidRPr="00544E1F" w:rsidRDefault="00544E1F" w:rsidP="00544E1F">
                                  <w:pPr>
                                    <w:rPr>
                                      <w:szCs w:val="20"/>
                                    </w:rPr>
                                  </w:pPr>
                                  <w:r w:rsidRPr="00544E1F">
                                    <w:rPr>
                                      <w:szCs w:val="20"/>
                                    </w:rPr>
                                    <w:t>Prijsstijging **</w:t>
                                  </w:r>
                                </w:p>
                              </w:tc>
                              <w:tc>
                                <w:tcPr>
                                  <w:tcW w:w="880" w:type="dxa"/>
                                  <w:tcBorders>
                                    <w:top w:val="nil"/>
                                    <w:left w:val="single" w:sz="4" w:space="0" w:color="auto"/>
                                    <w:bottom w:val="nil"/>
                                    <w:right w:val="nil"/>
                                  </w:tcBorders>
                                  <w:shd w:val="clear" w:color="000000" w:fill="FFFFFF"/>
                                  <w:noWrap/>
                                  <w:vAlign w:val="bottom"/>
                                  <w:hideMark/>
                                </w:tcPr>
                                <w:p w14:paraId="564C84F0" w14:textId="77777777" w:rsidR="00544E1F" w:rsidRPr="00544E1F" w:rsidRDefault="00544E1F" w:rsidP="00544E1F">
                                  <w:pPr>
                                    <w:jc w:val="right"/>
                                    <w:rPr>
                                      <w:szCs w:val="20"/>
                                    </w:rPr>
                                  </w:pPr>
                                  <w:r w:rsidRPr="00544E1F">
                                    <w:rPr>
                                      <w:szCs w:val="20"/>
                                    </w:rPr>
                                    <w:t>10%</w:t>
                                  </w:r>
                                </w:p>
                              </w:tc>
                              <w:tc>
                                <w:tcPr>
                                  <w:tcW w:w="1060" w:type="dxa"/>
                                  <w:tcBorders>
                                    <w:top w:val="nil"/>
                                    <w:left w:val="single" w:sz="4" w:space="0" w:color="auto"/>
                                    <w:bottom w:val="nil"/>
                                    <w:right w:val="single" w:sz="4" w:space="0" w:color="auto"/>
                                  </w:tcBorders>
                                  <w:shd w:val="clear" w:color="000000" w:fill="FFFFFF"/>
                                  <w:noWrap/>
                                  <w:vAlign w:val="bottom"/>
                                  <w:hideMark/>
                                </w:tcPr>
                                <w:p w14:paraId="5094DC1B" w14:textId="77777777" w:rsidR="00544E1F" w:rsidRPr="00544E1F" w:rsidRDefault="00544E1F" w:rsidP="00544E1F">
                                  <w:pPr>
                                    <w:jc w:val="right"/>
                                    <w:rPr>
                                      <w:szCs w:val="20"/>
                                    </w:rPr>
                                  </w:pPr>
                                  <w:r w:rsidRPr="00544E1F">
                                    <w:rPr>
                                      <w:szCs w:val="20"/>
                                    </w:rPr>
                                    <w:t>1,60%</w:t>
                                  </w:r>
                                </w:p>
                              </w:tc>
                              <w:tc>
                                <w:tcPr>
                                  <w:tcW w:w="1060" w:type="dxa"/>
                                  <w:tcBorders>
                                    <w:top w:val="nil"/>
                                    <w:left w:val="nil"/>
                                    <w:bottom w:val="nil"/>
                                    <w:right w:val="single" w:sz="4" w:space="0" w:color="auto"/>
                                  </w:tcBorders>
                                  <w:shd w:val="clear" w:color="000000" w:fill="FFFFFF"/>
                                  <w:noWrap/>
                                  <w:vAlign w:val="bottom"/>
                                  <w:hideMark/>
                                </w:tcPr>
                                <w:p w14:paraId="79CCC761" w14:textId="77777777" w:rsidR="00544E1F" w:rsidRPr="00544E1F" w:rsidRDefault="00544E1F" w:rsidP="00544E1F">
                                  <w:pPr>
                                    <w:jc w:val="right"/>
                                    <w:rPr>
                                      <w:szCs w:val="20"/>
                                    </w:rPr>
                                  </w:pPr>
                                  <w:r w:rsidRPr="00544E1F">
                                    <w:rPr>
                                      <w:szCs w:val="20"/>
                                    </w:rPr>
                                    <w:t>0,16%</w:t>
                                  </w:r>
                                </w:p>
                              </w:tc>
                            </w:tr>
                            <w:tr w:rsidR="00544E1F" w:rsidRPr="00544E1F" w14:paraId="56EE63D0" w14:textId="77777777" w:rsidTr="00544E1F">
                              <w:trPr>
                                <w:trHeight w:val="255"/>
                              </w:trPr>
                              <w:tc>
                                <w:tcPr>
                                  <w:tcW w:w="4280" w:type="dxa"/>
                                  <w:tcBorders>
                                    <w:top w:val="nil"/>
                                    <w:left w:val="single" w:sz="4" w:space="0" w:color="auto"/>
                                    <w:bottom w:val="nil"/>
                                    <w:right w:val="nil"/>
                                  </w:tcBorders>
                                  <w:shd w:val="clear" w:color="000000" w:fill="FFFFFF"/>
                                  <w:noWrap/>
                                  <w:vAlign w:val="bottom"/>
                                  <w:hideMark/>
                                </w:tcPr>
                                <w:p w14:paraId="53980B43" w14:textId="77777777" w:rsidR="00544E1F" w:rsidRPr="00544E1F" w:rsidRDefault="00544E1F" w:rsidP="00544E1F">
                                  <w:pPr>
                                    <w:rPr>
                                      <w:szCs w:val="20"/>
                                    </w:rPr>
                                  </w:pPr>
                                  <w:r w:rsidRPr="00544E1F">
                                    <w:rPr>
                                      <w:szCs w:val="20"/>
                                    </w:rPr>
                                    <w:t> </w:t>
                                  </w:r>
                                </w:p>
                              </w:tc>
                              <w:tc>
                                <w:tcPr>
                                  <w:tcW w:w="880" w:type="dxa"/>
                                  <w:tcBorders>
                                    <w:top w:val="nil"/>
                                    <w:left w:val="single" w:sz="4" w:space="0" w:color="auto"/>
                                    <w:bottom w:val="nil"/>
                                    <w:right w:val="nil"/>
                                  </w:tcBorders>
                                  <w:shd w:val="clear" w:color="000000" w:fill="FFFFFF"/>
                                  <w:noWrap/>
                                  <w:vAlign w:val="bottom"/>
                                  <w:hideMark/>
                                </w:tcPr>
                                <w:p w14:paraId="0AF4F7F0" w14:textId="77777777" w:rsidR="00544E1F" w:rsidRPr="00544E1F" w:rsidRDefault="00544E1F" w:rsidP="00544E1F">
                                  <w:pPr>
                                    <w:rPr>
                                      <w:szCs w:val="20"/>
                                    </w:rPr>
                                  </w:pPr>
                                  <w:r w:rsidRPr="00544E1F">
                                    <w:rPr>
                                      <w:szCs w:val="20"/>
                                    </w:rPr>
                                    <w:t> </w:t>
                                  </w:r>
                                </w:p>
                              </w:tc>
                              <w:tc>
                                <w:tcPr>
                                  <w:tcW w:w="1060" w:type="dxa"/>
                                  <w:tcBorders>
                                    <w:top w:val="nil"/>
                                    <w:left w:val="single" w:sz="4" w:space="0" w:color="auto"/>
                                    <w:bottom w:val="nil"/>
                                    <w:right w:val="single" w:sz="4" w:space="0" w:color="auto"/>
                                  </w:tcBorders>
                                  <w:shd w:val="clear" w:color="000000" w:fill="FFFFFF"/>
                                  <w:noWrap/>
                                  <w:vAlign w:val="bottom"/>
                                  <w:hideMark/>
                                </w:tcPr>
                                <w:p w14:paraId="72D8698F" w14:textId="77777777" w:rsidR="00544E1F" w:rsidRPr="00544E1F" w:rsidRDefault="00544E1F" w:rsidP="00544E1F">
                                  <w:pPr>
                                    <w:rPr>
                                      <w:szCs w:val="20"/>
                                    </w:rPr>
                                  </w:pPr>
                                  <w:r w:rsidRPr="00544E1F">
                                    <w:rPr>
                                      <w:szCs w:val="20"/>
                                    </w:rPr>
                                    <w:t> </w:t>
                                  </w:r>
                                </w:p>
                              </w:tc>
                              <w:tc>
                                <w:tcPr>
                                  <w:tcW w:w="1060" w:type="dxa"/>
                                  <w:tcBorders>
                                    <w:top w:val="nil"/>
                                    <w:left w:val="nil"/>
                                    <w:bottom w:val="nil"/>
                                    <w:right w:val="single" w:sz="4" w:space="0" w:color="auto"/>
                                  </w:tcBorders>
                                  <w:shd w:val="clear" w:color="000000" w:fill="FFFFFF"/>
                                  <w:noWrap/>
                                  <w:vAlign w:val="bottom"/>
                                  <w:hideMark/>
                                </w:tcPr>
                                <w:p w14:paraId="735675B4" w14:textId="77777777" w:rsidR="00544E1F" w:rsidRPr="00544E1F" w:rsidRDefault="00544E1F" w:rsidP="00544E1F">
                                  <w:pPr>
                                    <w:rPr>
                                      <w:szCs w:val="20"/>
                                    </w:rPr>
                                  </w:pPr>
                                  <w:r w:rsidRPr="00544E1F">
                                    <w:rPr>
                                      <w:szCs w:val="20"/>
                                    </w:rPr>
                                    <w:t> </w:t>
                                  </w:r>
                                </w:p>
                              </w:tc>
                            </w:tr>
                            <w:tr w:rsidR="00544E1F" w:rsidRPr="00544E1F" w14:paraId="72AC7788" w14:textId="77777777" w:rsidTr="00544E1F">
                              <w:trPr>
                                <w:trHeight w:val="255"/>
                              </w:trPr>
                              <w:tc>
                                <w:tcPr>
                                  <w:tcW w:w="4280" w:type="dxa"/>
                                  <w:tcBorders>
                                    <w:top w:val="single" w:sz="4" w:space="0" w:color="auto"/>
                                    <w:left w:val="single" w:sz="4" w:space="0" w:color="auto"/>
                                    <w:bottom w:val="single" w:sz="4" w:space="0" w:color="auto"/>
                                    <w:right w:val="nil"/>
                                  </w:tcBorders>
                                  <w:shd w:val="clear" w:color="000000" w:fill="FFFFFF"/>
                                  <w:noWrap/>
                                  <w:vAlign w:val="bottom"/>
                                  <w:hideMark/>
                                </w:tcPr>
                                <w:p w14:paraId="12781249" w14:textId="77777777" w:rsidR="00544E1F" w:rsidRPr="00544E1F" w:rsidRDefault="00544E1F" w:rsidP="00544E1F">
                                  <w:pPr>
                                    <w:rPr>
                                      <w:b/>
                                      <w:bCs/>
                                      <w:szCs w:val="20"/>
                                    </w:rPr>
                                  </w:pPr>
                                  <w:r w:rsidRPr="00544E1F">
                                    <w:rPr>
                                      <w:b/>
                                      <w:bCs/>
                                      <w:szCs w:val="20"/>
                                    </w:rPr>
                                    <w:t>Indexering gemeentelijke bijdrage</w:t>
                                  </w:r>
                                </w:p>
                              </w:tc>
                              <w:tc>
                                <w:tcPr>
                                  <w:tcW w:w="880" w:type="dxa"/>
                                  <w:tcBorders>
                                    <w:top w:val="single" w:sz="4" w:space="0" w:color="auto"/>
                                    <w:left w:val="single" w:sz="4" w:space="0" w:color="auto"/>
                                    <w:bottom w:val="single" w:sz="4" w:space="0" w:color="auto"/>
                                    <w:right w:val="nil"/>
                                  </w:tcBorders>
                                  <w:shd w:val="clear" w:color="000000" w:fill="FFFFFF"/>
                                  <w:noWrap/>
                                  <w:vAlign w:val="bottom"/>
                                  <w:hideMark/>
                                </w:tcPr>
                                <w:p w14:paraId="23622754" w14:textId="77777777" w:rsidR="00544E1F" w:rsidRPr="00544E1F" w:rsidRDefault="00544E1F" w:rsidP="00544E1F">
                                  <w:pPr>
                                    <w:rPr>
                                      <w:b/>
                                      <w:bCs/>
                                      <w:szCs w:val="20"/>
                                    </w:rPr>
                                  </w:pPr>
                                  <w:r w:rsidRPr="00544E1F">
                                    <w:rPr>
                                      <w:b/>
                                      <w:bCs/>
                                      <w:szCs w:val="20"/>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8B8CD3" w14:textId="77777777" w:rsidR="00544E1F" w:rsidRPr="00544E1F" w:rsidRDefault="00544E1F" w:rsidP="00544E1F">
                                  <w:pPr>
                                    <w:rPr>
                                      <w:b/>
                                      <w:bCs/>
                                      <w:szCs w:val="20"/>
                                    </w:rPr>
                                  </w:pPr>
                                  <w:r w:rsidRPr="00544E1F">
                                    <w:rPr>
                                      <w:b/>
                                      <w:bCs/>
                                      <w:szCs w:val="20"/>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0FA61CD3" w14:textId="3A831DD7" w:rsidR="00544E1F" w:rsidRPr="00544E1F" w:rsidRDefault="00544E1F" w:rsidP="00544E1F">
                                  <w:pPr>
                                    <w:jc w:val="right"/>
                                    <w:rPr>
                                      <w:b/>
                                      <w:bCs/>
                                      <w:szCs w:val="20"/>
                                    </w:rPr>
                                  </w:pPr>
                                  <w:r w:rsidRPr="00544E1F">
                                    <w:rPr>
                                      <w:b/>
                                      <w:bCs/>
                                      <w:szCs w:val="20"/>
                                    </w:rPr>
                                    <w:t>2,</w:t>
                                  </w:r>
                                  <w:r w:rsidR="005134F0">
                                    <w:rPr>
                                      <w:b/>
                                      <w:bCs/>
                                      <w:szCs w:val="20"/>
                                    </w:rPr>
                                    <w:t>68</w:t>
                                  </w:r>
                                  <w:r w:rsidRPr="00544E1F">
                                    <w:rPr>
                                      <w:b/>
                                      <w:bCs/>
                                      <w:szCs w:val="20"/>
                                    </w:rPr>
                                    <w:t>%</w:t>
                                  </w:r>
                                </w:p>
                              </w:tc>
                            </w:tr>
                            <w:tr w:rsidR="00544E1F" w:rsidRPr="00544E1F" w14:paraId="728C9631" w14:textId="77777777" w:rsidTr="00544E1F">
                              <w:trPr>
                                <w:trHeight w:val="255"/>
                              </w:trPr>
                              <w:tc>
                                <w:tcPr>
                                  <w:tcW w:w="4280" w:type="dxa"/>
                                  <w:tcBorders>
                                    <w:top w:val="nil"/>
                                    <w:left w:val="nil"/>
                                    <w:bottom w:val="nil"/>
                                    <w:right w:val="nil"/>
                                  </w:tcBorders>
                                  <w:shd w:val="clear" w:color="000000" w:fill="FFFFFF"/>
                                  <w:noWrap/>
                                  <w:vAlign w:val="bottom"/>
                                  <w:hideMark/>
                                </w:tcPr>
                                <w:p w14:paraId="5D72950A" w14:textId="52C8429D" w:rsidR="00544E1F" w:rsidRPr="00544E1F" w:rsidRDefault="00544E1F" w:rsidP="00544E1F">
                                  <w:pPr>
                                    <w:rPr>
                                      <w:sz w:val="16"/>
                                      <w:szCs w:val="16"/>
                                    </w:rPr>
                                  </w:pPr>
                                  <w:r w:rsidRPr="00544E1F">
                                    <w:rPr>
                                      <w:sz w:val="16"/>
                                      <w:szCs w:val="16"/>
                                    </w:rPr>
                                    <w:t xml:space="preserve">   MEV: Loonvoet sector overheid</w:t>
                                  </w:r>
                                </w:p>
                              </w:tc>
                              <w:tc>
                                <w:tcPr>
                                  <w:tcW w:w="880" w:type="dxa"/>
                                  <w:tcBorders>
                                    <w:top w:val="nil"/>
                                    <w:left w:val="nil"/>
                                    <w:bottom w:val="nil"/>
                                    <w:right w:val="nil"/>
                                  </w:tcBorders>
                                  <w:shd w:val="clear" w:color="000000" w:fill="FFFFFF"/>
                                  <w:noWrap/>
                                  <w:vAlign w:val="bottom"/>
                                  <w:hideMark/>
                                </w:tcPr>
                                <w:p w14:paraId="0FCC8B8F"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3512A825"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27C959F3" w14:textId="77777777" w:rsidR="00544E1F" w:rsidRPr="00544E1F" w:rsidRDefault="00544E1F" w:rsidP="00544E1F">
                                  <w:pPr>
                                    <w:rPr>
                                      <w:szCs w:val="20"/>
                                    </w:rPr>
                                  </w:pPr>
                                  <w:r w:rsidRPr="00544E1F">
                                    <w:rPr>
                                      <w:szCs w:val="20"/>
                                    </w:rPr>
                                    <w:t> </w:t>
                                  </w:r>
                                </w:p>
                              </w:tc>
                            </w:tr>
                            <w:tr w:rsidR="00544E1F" w:rsidRPr="00544E1F" w14:paraId="5613DCA1" w14:textId="77777777" w:rsidTr="00544E1F">
                              <w:trPr>
                                <w:trHeight w:val="255"/>
                              </w:trPr>
                              <w:tc>
                                <w:tcPr>
                                  <w:tcW w:w="4280" w:type="dxa"/>
                                  <w:tcBorders>
                                    <w:top w:val="nil"/>
                                    <w:left w:val="nil"/>
                                    <w:bottom w:val="nil"/>
                                    <w:right w:val="nil"/>
                                  </w:tcBorders>
                                  <w:shd w:val="clear" w:color="000000" w:fill="FFFFFF"/>
                                  <w:noWrap/>
                                  <w:vAlign w:val="bottom"/>
                                  <w:hideMark/>
                                </w:tcPr>
                                <w:p w14:paraId="166ACA9E" w14:textId="77777777" w:rsidR="00544E1F" w:rsidRPr="00544E1F" w:rsidRDefault="00544E1F" w:rsidP="00544E1F">
                                  <w:pPr>
                                    <w:rPr>
                                      <w:sz w:val="16"/>
                                      <w:szCs w:val="16"/>
                                    </w:rPr>
                                  </w:pPr>
                                  <w:r w:rsidRPr="00544E1F">
                                    <w:rPr>
                                      <w:sz w:val="16"/>
                                      <w:szCs w:val="16"/>
                                    </w:rPr>
                                    <w:t>** MEV: Prijs netto materiële overheidsconsumptie (IMOC)</w:t>
                                  </w:r>
                                </w:p>
                              </w:tc>
                              <w:tc>
                                <w:tcPr>
                                  <w:tcW w:w="880" w:type="dxa"/>
                                  <w:tcBorders>
                                    <w:top w:val="nil"/>
                                    <w:left w:val="nil"/>
                                    <w:bottom w:val="nil"/>
                                    <w:right w:val="nil"/>
                                  </w:tcBorders>
                                  <w:shd w:val="clear" w:color="000000" w:fill="FFFFFF"/>
                                  <w:noWrap/>
                                  <w:vAlign w:val="bottom"/>
                                  <w:hideMark/>
                                </w:tcPr>
                                <w:p w14:paraId="19EBC9C5"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05A85127"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253DFCB1" w14:textId="77777777" w:rsidR="00544E1F" w:rsidRPr="00544E1F" w:rsidRDefault="00544E1F" w:rsidP="00544E1F">
                                  <w:pPr>
                                    <w:rPr>
                                      <w:szCs w:val="20"/>
                                    </w:rPr>
                                  </w:pPr>
                                  <w:r w:rsidRPr="00544E1F">
                                    <w:rPr>
                                      <w:szCs w:val="20"/>
                                    </w:rPr>
                                    <w:t> </w:t>
                                  </w:r>
                                </w:p>
                              </w:tc>
                            </w:tr>
                          </w:tbl>
                          <w:p w14:paraId="5303ED85" w14:textId="77777777" w:rsidR="00FB0133" w:rsidRDefault="00FB0133" w:rsidP="003F26C6">
                            <w:pPr>
                              <w:pStyle w:val="Geenafstand"/>
                              <w:rPr>
                                <w:rFonts w:ascii="Arial" w:hAnsi="Arial" w:cs="Arial"/>
                                <w:sz w:val="20"/>
                                <w:szCs w:val="20"/>
                              </w:rPr>
                            </w:pPr>
                          </w:p>
                          <w:p w14:paraId="58BBE9C5" w14:textId="77777777" w:rsidR="00FB0133" w:rsidRDefault="00FB0133" w:rsidP="003F26C6">
                            <w:pPr>
                              <w:pStyle w:val="Geenafstand"/>
                              <w:rPr>
                                <w:rFonts w:ascii="Arial" w:hAnsi="Arial" w:cs="Arial"/>
                                <w:sz w:val="20"/>
                                <w:szCs w:val="20"/>
                              </w:rPr>
                            </w:pPr>
                          </w:p>
                          <w:p w14:paraId="3C041E55" w14:textId="77777777" w:rsidR="00FB0133" w:rsidRDefault="00FB0133" w:rsidP="003F26C6">
                            <w:pPr>
                              <w:pStyle w:val="Geenafstand"/>
                              <w:rPr>
                                <w:rFonts w:ascii="Arial" w:hAnsi="Arial" w:cs="Arial"/>
                                <w:sz w:val="20"/>
                                <w:szCs w:val="20"/>
                              </w:rPr>
                            </w:pPr>
                            <w:r>
                              <w:rPr>
                                <w:rFonts w:ascii="Arial" w:hAnsi="Arial" w:cs="Arial"/>
                                <w:sz w:val="20"/>
                                <w:szCs w:val="20"/>
                              </w:rPr>
                              <w:t>In bijlage 2 treft u een specificatie per gemeente aan van de bijdrage 20</w:t>
                            </w:r>
                            <w:r w:rsidR="00903A21">
                              <w:rPr>
                                <w:rFonts w:ascii="Arial" w:hAnsi="Arial" w:cs="Arial"/>
                                <w:sz w:val="20"/>
                                <w:szCs w:val="20"/>
                              </w:rPr>
                              <w:t>2</w:t>
                            </w:r>
                            <w:r w:rsidR="00544E1F">
                              <w:rPr>
                                <w:rFonts w:ascii="Arial" w:hAnsi="Arial" w:cs="Arial"/>
                                <w:sz w:val="20"/>
                                <w:szCs w:val="20"/>
                              </w:rPr>
                              <w:t>1</w:t>
                            </w:r>
                            <w:r>
                              <w:rPr>
                                <w:rFonts w:ascii="Arial" w:hAnsi="Arial" w:cs="Arial"/>
                                <w:sz w:val="20"/>
                                <w:szCs w:val="20"/>
                              </w:rPr>
                              <w:t xml:space="preserve">. </w:t>
                            </w:r>
                          </w:p>
                          <w:p w14:paraId="050C6EB6" w14:textId="77777777" w:rsidR="00FB0133" w:rsidRDefault="00FB0133" w:rsidP="003F26C6">
                            <w:pPr>
                              <w:pStyle w:val="Geenafstand"/>
                              <w:rPr>
                                <w:rFonts w:ascii="Arial" w:hAnsi="Arial" w:cs="Arial"/>
                                <w:sz w:val="20"/>
                                <w:szCs w:val="20"/>
                              </w:rPr>
                            </w:pPr>
                          </w:p>
                          <w:p w14:paraId="48FFE8B3" w14:textId="77777777" w:rsidR="003F26C6" w:rsidRPr="00994DF0" w:rsidRDefault="003F26C6" w:rsidP="003F26C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40A5C" id="_x0000_t202" coordsize="21600,21600" o:spt="202" path="m,l,21600r21600,l21600,xe">
                <v:stroke joinstyle="miter"/>
                <v:path gradientshapeok="t" o:connecttype="rect"/>
              </v:shapetype>
              <v:shape id="Tekstvak 2" o:spid="_x0000_s1026" type="#_x0000_t202" style="position:absolute;margin-left:-.65pt;margin-top:6.5pt;width:465pt;height:17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" fillcolor="#ebf1de">
                <v:textbox>
                  <w:txbxContent>
                    <w:p w14:paraId="776F7397" w14:textId="77777777" w:rsidR="003F26C6" w:rsidRDefault="003F26C6" w:rsidP="003F26C6">
                      <w:pPr>
                        <w:pStyle w:val="Default"/>
                        <w:rPr>
                          <w:b/>
                          <w:bCs/>
                          <w:color w:val="00B0F0"/>
                          <w:sz w:val="20"/>
                          <w:szCs w:val="20"/>
                        </w:rPr>
                      </w:pPr>
                    </w:p>
                    <w:p w14:paraId="09B25747" w14:textId="77777777" w:rsidR="003F26C6" w:rsidRDefault="003F26C6" w:rsidP="003F26C6">
                      <w:pPr>
                        <w:pStyle w:val="Geenafstand"/>
                        <w:rPr>
                          <w:rFonts w:ascii="Arial" w:hAnsi="Arial" w:cs="Arial"/>
                          <w:sz w:val="20"/>
                          <w:szCs w:val="20"/>
                        </w:rPr>
                      </w:pPr>
                    </w:p>
                    <w:tbl>
                      <w:tblPr>
                        <w:tblW w:w="7280" w:type="dxa"/>
                        <w:tblCellMar>
                          <w:left w:w="70" w:type="dxa"/>
                          <w:right w:w="70" w:type="dxa"/>
                        </w:tblCellMar>
                        <w:tblLook w:val="04A0" w:firstRow="1" w:lastRow="0" w:firstColumn="1" w:lastColumn="0" w:noHBand="0" w:noVBand="1"/>
                      </w:tblPr>
                      <w:tblGrid>
                        <w:gridCol w:w="4280"/>
                        <w:gridCol w:w="880"/>
                        <w:gridCol w:w="1060"/>
                        <w:gridCol w:w="1060"/>
                      </w:tblGrid>
                      <w:tr w:rsidR="00544E1F" w:rsidRPr="00544E1F" w14:paraId="12499B39" w14:textId="77777777" w:rsidTr="00544E1F">
                        <w:trPr>
                          <w:trHeight w:val="255"/>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AF62B" w14:textId="77777777" w:rsidR="00544E1F" w:rsidRPr="00544E1F" w:rsidRDefault="00544E1F" w:rsidP="00544E1F">
                            <w:pPr>
                              <w:rPr>
                                <w:b/>
                                <w:bCs/>
                                <w:szCs w:val="20"/>
                              </w:rPr>
                            </w:pPr>
                            <w:r w:rsidRPr="00544E1F">
                              <w:rPr>
                                <w:b/>
                                <w:bCs/>
                                <w:szCs w:val="20"/>
                              </w:rPr>
                              <w:t>Begroting</w:t>
                            </w:r>
                          </w:p>
                        </w:tc>
                        <w:tc>
                          <w:tcPr>
                            <w:tcW w:w="880" w:type="dxa"/>
                            <w:tcBorders>
                              <w:top w:val="single" w:sz="4" w:space="0" w:color="auto"/>
                              <w:left w:val="nil"/>
                              <w:bottom w:val="single" w:sz="4" w:space="0" w:color="auto"/>
                              <w:right w:val="nil"/>
                            </w:tcBorders>
                            <w:shd w:val="clear" w:color="000000" w:fill="FFFFFF"/>
                            <w:noWrap/>
                            <w:vAlign w:val="bottom"/>
                            <w:hideMark/>
                          </w:tcPr>
                          <w:p w14:paraId="1A528C04" w14:textId="77777777" w:rsidR="00544E1F" w:rsidRPr="00544E1F" w:rsidRDefault="00544E1F" w:rsidP="00544E1F">
                            <w:pPr>
                              <w:jc w:val="center"/>
                              <w:rPr>
                                <w:b/>
                                <w:bCs/>
                                <w:szCs w:val="20"/>
                              </w:rPr>
                            </w:pPr>
                            <w:r w:rsidRPr="00544E1F">
                              <w:rPr>
                                <w:b/>
                                <w:bCs/>
                                <w:szCs w:val="20"/>
                              </w:rPr>
                              <w:t>Factor</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D2385D" w14:textId="77777777" w:rsidR="00544E1F" w:rsidRPr="00544E1F" w:rsidRDefault="00544E1F" w:rsidP="00544E1F">
                            <w:pPr>
                              <w:jc w:val="center"/>
                              <w:rPr>
                                <w:b/>
                                <w:bCs/>
                                <w:szCs w:val="20"/>
                              </w:rPr>
                            </w:pPr>
                            <w:r w:rsidRPr="00544E1F">
                              <w:rPr>
                                <w:b/>
                                <w:bCs/>
                                <w:szCs w:val="20"/>
                              </w:rPr>
                              <w:t>MEV</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7AC9297D" w14:textId="77777777" w:rsidR="00544E1F" w:rsidRPr="00544E1F" w:rsidRDefault="00544E1F" w:rsidP="00544E1F">
                            <w:pPr>
                              <w:jc w:val="center"/>
                              <w:rPr>
                                <w:b/>
                                <w:bCs/>
                                <w:szCs w:val="20"/>
                              </w:rPr>
                            </w:pPr>
                            <w:r w:rsidRPr="00544E1F">
                              <w:rPr>
                                <w:b/>
                                <w:bCs/>
                                <w:szCs w:val="20"/>
                              </w:rPr>
                              <w:t>2021</w:t>
                            </w:r>
                          </w:p>
                        </w:tc>
                      </w:tr>
                      <w:tr w:rsidR="00544E1F" w:rsidRPr="00544E1F" w14:paraId="0F0FD868" w14:textId="77777777" w:rsidTr="00544E1F">
                        <w:trPr>
                          <w:trHeight w:val="255"/>
                        </w:trPr>
                        <w:tc>
                          <w:tcPr>
                            <w:tcW w:w="4280" w:type="dxa"/>
                            <w:tcBorders>
                              <w:top w:val="nil"/>
                              <w:left w:val="single" w:sz="4" w:space="0" w:color="auto"/>
                              <w:bottom w:val="nil"/>
                              <w:right w:val="nil"/>
                            </w:tcBorders>
                            <w:shd w:val="clear" w:color="000000" w:fill="FFFFFF"/>
                            <w:noWrap/>
                            <w:vAlign w:val="bottom"/>
                            <w:hideMark/>
                          </w:tcPr>
                          <w:p w14:paraId="2CD48218" w14:textId="77777777" w:rsidR="00544E1F" w:rsidRPr="00544E1F" w:rsidRDefault="00544E1F" w:rsidP="00544E1F">
                            <w:pPr>
                              <w:rPr>
                                <w:szCs w:val="20"/>
                              </w:rPr>
                            </w:pPr>
                            <w:r w:rsidRPr="00544E1F">
                              <w:rPr>
                                <w:szCs w:val="20"/>
                              </w:rPr>
                              <w:t>Loonstijging *</w:t>
                            </w:r>
                          </w:p>
                        </w:tc>
                        <w:tc>
                          <w:tcPr>
                            <w:tcW w:w="880" w:type="dxa"/>
                            <w:tcBorders>
                              <w:top w:val="nil"/>
                              <w:left w:val="single" w:sz="4" w:space="0" w:color="auto"/>
                              <w:bottom w:val="nil"/>
                              <w:right w:val="nil"/>
                            </w:tcBorders>
                            <w:shd w:val="clear" w:color="000000" w:fill="FFFFFF"/>
                            <w:noWrap/>
                            <w:vAlign w:val="bottom"/>
                            <w:hideMark/>
                          </w:tcPr>
                          <w:p w14:paraId="6F8FA8E2" w14:textId="77777777" w:rsidR="00544E1F" w:rsidRPr="00544E1F" w:rsidRDefault="00544E1F" w:rsidP="00544E1F">
                            <w:pPr>
                              <w:jc w:val="right"/>
                              <w:rPr>
                                <w:szCs w:val="20"/>
                              </w:rPr>
                            </w:pPr>
                            <w:r w:rsidRPr="00544E1F">
                              <w:rPr>
                                <w:szCs w:val="20"/>
                              </w:rPr>
                              <w:t>90%</w:t>
                            </w:r>
                          </w:p>
                        </w:tc>
                        <w:tc>
                          <w:tcPr>
                            <w:tcW w:w="1060" w:type="dxa"/>
                            <w:tcBorders>
                              <w:top w:val="nil"/>
                              <w:left w:val="single" w:sz="4" w:space="0" w:color="auto"/>
                              <w:bottom w:val="nil"/>
                              <w:right w:val="single" w:sz="4" w:space="0" w:color="auto"/>
                            </w:tcBorders>
                            <w:shd w:val="clear" w:color="000000" w:fill="FFFFFF"/>
                            <w:noWrap/>
                            <w:vAlign w:val="bottom"/>
                            <w:hideMark/>
                          </w:tcPr>
                          <w:p w14:paraId="754EE1F5" w14:textId="7472AB58" w:rsidR="00544E1F" w:rsidRPr="00544E1F" w:rsidRDefault="00544E1F" w:rsidP="00544E1F">
                            <w:pPr>
                              <w:jc w:val="right"/>
                              <w:rPr>
                                <w:szCs w:val="20"/>
                              </w:rPr>
                            </w:pPr>
                            <w:r w:rsidRPr="00544E1F">
                              <w:rPr>
                                <w:szCs w:val="20"/>
                              </w:rPr>
                              <w:t>2,</w:t>
                            </w:r>
                            <w:r w:rsidR="005134F0">
                              <w:rPr>
                                <w:szCs w:val="20"/>
                              </w:rPr>
                              <w:t>8</w:t>
                            </w:r>
                            <w:r w:rsidRPr="00544E1F">
                              <w:rPr>
                                <w:szCs w:val="20"/>
                              </w:rPr>
                              <w:t>0%</w:t>
                            </w:r>
                          </w:p>
                        </w:tc>
                        <w:tc>
                          <w:tcPr>
                            <w:tcW w:w="1060" w:type="dxa"/>
                            <w:tcBorders>
                              <w:top w:val="nil"/>
                              <w:left w:val="nil"/>
                              <w:bottom w:val="nil"/>
                              <w:right w:val="single" w:sz="4" w:space="0" w:color="auto"/>
                            </w:tcBorders>
                            <w:shd w:val="clear" w:color="000000" w:fill="FFFFFF"/>
                            <w:noWrap/>
                            <w:vAlign w:val="bottom"/>
                            <w:hideMark/>
                          </w:tcPr>
                          <w:p w14:paraId="6E3F5795" w14:textId="3895103C" w:rsidR="00544E1F" w:rsidRPr="00544E1F" w:rsidRDefault="00544E1F" w:rsidP="00544E1F">
                            <w:pPr>
                              <w:jc w:val="right"/>
                              <w:rPr>
                                <w:szCs w:val="20"/>
                              </w:rPr>
                            </w:pPr>
                            <w:r w:rsidRPr="00544E1F">
                              <w:rPr>
                                <w:szCs w:val="20"/>
                              </w:rPr>
                              <w:t>2,</w:t>
                            </w:r>
                            <w:r w:rsidR="005134F0">
                              <w:rPr>
                                <w:szCs w:val="20"/>
                              </w:rPr>
                              <w:t>52</w:t>
                            </w:r>
                            <w:r w:rsidRPr="00544E1F">
                              <w:rPr>
                                <w:szCs w:val="20"/>
                              </w:rPr>
                              <w:t>%</w:t>
                            </w:r>
                          </w:p>
                        </w:tc>
                      </w:tr>
                      <w:tr w:rsidR="00544E1F" w:rsidRPr="00544E1F" w14:paraId="4009D0B2" w14:textId="77777777" w:rsidTr="00544E1F">
                        <w:trPr>
                          <w:trHeight w:val="255"/>
                        </w:trPr>
                        <w:tc>
                          <w:tcPr>
                            <w:tcW w:w="4280" w:type="dxa"/>
                            <w:tcBorders>
                              <w:top w:val="nil"/>
                              <w:left w:val="single" w:sz="4" w:space="0" w:color="auto"/>
                              <w:bottom w:val="nil"/>
                              <w:right w:val="nil"/>
                            </w:tcBorders>
                            <w:shd w:val="clear" w:color="000000" w:fill="FFFFFF"/>
                            <w:noWrap/>
                            <w:vAlign w:val="bottom"/>
                            <w:hideMark/>
                          </w:tcPr>
                          <w:p w14:paraId="6DEDC932" w14:textId="77777777" w:rsidR="00544E1F" w:rsidRPr="00544E1F" w:rsidRDefault="00544E1F" w:rsidP="00544E1F">
                            <w:pPr>
                              <w:rPr>
                                <w:szCs w:val="20"/>
                              </w:rPr>
                            </w:pPr>
                            <w:r w:rsidRPr="00544E1F">
                              <w:rPr>
                                <w:szCs w:val="20"/>
                              </w:rPr>
                              <w:t>Prijsstijging **</w:t>
                            </w:r>
                          </w:p>
                        </w:tc>
                        <w:tc>
                          <w:tcPr>
                            <w:tcW w:w="880" w:type="dxa"/>
                            <w:tcBorders>
                              <w:top w:val="nil"/>
                              <w:left w:val="single" w:sz="4" w:space="0" w:color="auto"/>
                              <w:bottom w:val="nil"/>
                              <w:right w:val="nil"/>
                            </w:tcBorders>
                            <w:shd w:val="clear" w:color="000000" w:fill="FFFFFF"/>
                            <w:noWrap/>
                            <w:vAlign w:val="bottom"/>
                            <w:hideMark/>
                          </w:tcPr>
                          <w:p w14:paraId="564C84F0" w14:textId="77777777" w:rsidR="00544E1F" w:rsidRPr="00544E1F" w:rsidRDefault="00544E1F" w:rsidP="00544E1F">
                            <w:pPr>
                              <w:jc w:val="right"/>
                              <w:rPr>
                                <w:szCs w:val="20"/>
                              </w:rPr>
                            </w:pPr>
                            <w:r w:rsidRPr="00544E1F">
                              <w:rPr>
                                <w:szCs w:val="20"/>
                              </w:rPr>
                              <w:t>10%</w:t>
                            </w:r>
                          </w:p>
                        </w:tc>
                        <w:tc>
                          <w:tcPr>
                            <w:tcW w:w="1060" w:type="dxa"/>
                            <w:tcBorders>
                              <w:top w:val="nil"/>
                              <w:left w:val="single" w:sz="4" w:space="0" w:color="auto"/>
                              <w:bottom w:val="nil"/>
                              <w:right w:val="single" w:sz="4" w:space="0" w:color="auto"/>
                            </w:tcBorders>
                            <w:shd w:val="clear" w:color="000000" w:fill="FFFFFF"/>
                            <w:noWrap/>
                            <w:vAlign w:val="bottom"/>
                            <w:hideMark/>
                          </w:tcPr>
                          <w:p w14:paraId="5094DC1B" w14:textId="77777777" w:rsidR="00544E1F" w:rsidRPr="00544E1F" w:rsidRDefault="00544E1F" w:rsidP="00544E1F">
                            <w:pPr>
                              <w:jc w:val="right"/>
                              <w:rPr>
                                <w:szCs w:val="20"/>
                              </w:rPr>
                            </w:pPr>
                            <w:r w:rsidRPr="00544E1F">
                              <w:rPr>
                                <w:szCs w:val="20"/>
                              </w:rPr>
                              <w:t>1,60%</w:t>
                            </w:r>
                          </w:p>
                        </w:tc>
                        <w:tc>
                          <w:tcPr>
                            <w:tcW w:w="1060" w:type="dxa"/>
                            <w:tcBorders>
                              <w:top w:val="nil"/>
                              <w:left w:val="nil"/>
                              <w:bottom w:val="nil"/>
                              <w:right w:val="single" w:sz="4" w:space="0" w:color="auto"/>
                            </w:tcBorders>
                            <w:shd w:val="clear" w:color="000000" w:fill="FFFFFF"/>
                            <w:noWrap/>
                            <w:vAlign w:val="bottom"/>
                            <w:hideMark/>
                          </w:tcPr>
                          <w:p w14:paraId="79CCC761" w14:textId="77777777" w:rsidR="00544E1F" w:rsidRPr="00544E1F" w:rsidRDefault="00544E1F" w:rsidP="00544E1F">
                            <w:pPr>
                              <w:jc w:val="right"/>
                              <w:rPr>
                                <w:szCs w:val="20"/>
                              </w:rPr>
                            </w:pPr>
                            <w:r w:rsidRPr="00544E1F">
                              <w:rPr>
                                <w:szCs w:val="20"/>
                              </w:rPr>
                              <w:t>0,16%</w:t>
                            </w:r>
                          </w:p>
                        </w:tc>
                      </w:tr>
                      <w:tr w:rsidR="00544E1F" w:rsidRPr="00544E1F" w14:paraId="56EE63D0" w14:textId="77777777" w:rsidTr="00544E1F">
                        <w:trPr>
                          <w:trHeight w:val="255"/>
                        </w:trPr>
                        <w:tc>
                          <w:tcPr>
                            <w:tcW w:w="4280" w:type="dxa"/>
                            <w:tcBorders>
                              <w:top w:val="nil"/>
                              <w:left w:val="single" w:sz="4" w:space="0" w:color="auto"/>
                              <w:bottom w:val="nil"/>
                              <w:right w:val="nil"/>
                            </w:tcBorders>
                            <w:shd w:val="clear" w:color="000000" w:fill="FFFFFF"/>
                            <w:noWrap/>
                            <w:vAlign w:val="bottom"/>
                            <w:hideMark/>
                          </w:tcPr>
                          <w:p w14:paraId="53980B43" w14:textId="77777777" w:rsidR="00544E1F" w:rsidRPr="00544E1F" w:rsidRDefault="00544E1F" w:rsidP="00544E1F">
                            <w:pPr>
                              <w:rPr>
                                <w:szCs w:val="20"/>
                              </w:rPr>
                            </w:pPr>
                            <w:r w:rsidRPr="00544E1F">
                              <w:rPr>
                                <w:szCs w:val="20"/>
                              </w:rPr>
                              <w:t> </w:t>
                            </w:r>
                          </w:p>
                        </w:tc>
                        <w:tc>
                          <w:tcPr>
                            <w:tcW w:w="880" w:type="dxa"/>
                            <w:tcBorders>
                              <w:top w:val="nil"/>
                              <w:left w:val="single" w:sz="4" w:space="0" w:color="auto"/>
                              <w:bottom w:val="nil"/>
                              <w:right w:val="nil"/>
                            </w:tcBorders>
                            <w:shd w:val="clear" w:color="000000" w:fill="FFFFFF"/>
                            <w:noWrap/>
                            <w:vAlign w:val="bottom"/>
                            <w:hideMark/>
                          </w:tcPr>
                          <w:p w14:paraId="0AF4F7F0" w14:textId="77777777" w:rsidR="00544E1F" w:rsidRPr="00544E1F" w:rsidRDefault="00544E1F" w:rsidP="00544E1F">
                            <w:pPr>
                              <w:rPr>
                                <w:szCs w:val="20"/>
                              </w:rPr>
                            </w:pPr>
                            <w:r w:rsidRPr="00544E1F">
                              <w:rPr>
                                <w:szCs w:val="20"/>
                              </w:rPr>
                              <w:t> </w:t>
                            </w:r>
                          </w:p>
                        </w:tc>
                        <w:tc>
                          <w:tcPr>
                            <w:tcW w:w="1060" w:type="dxa"/>
                            <w:tcBorders>
                              <w:top w:val="nil"/>
                              <w:left w:val="single" w:sz="4" w:space="0" w:color="auto"/>
                              <w:bottom w:val="nil"/>
                              <w:right w:val="single" w:sz="4" w:space="0" w:color="auto"/>
                            </w:tcBorders>
                            <w:shd w:val="clear" w:color="000000" w:fill="FFFFFF"/>
                            <w:noWrap/>
                            <w:vAlign w:val="bottom"/>
                            <w:hideMark/>
                          </w:tcPr>
                          <w:p w14:paraId="72D8698F" w14:textId="77777777" w:rsidR="00544E1F" w:rsidRPr="00544E1F" w:rsidRDefault="00544E1F" w:rsidP="00544E1F">
                            <w:pPr>
                              <w:rPr>
                                <w:szCs w:val="20"/>
                              </w:rPr>
                            </w:pPr>
                            <w:r w:rsidRPr="00544E1F">
                              <w:rPr>
                                <w:szCs w:val="20"/>
                              </w:rPr>
                              <w:t> </w:t>
                            </w:r>
                          </w:p>
                        </w:tc>
                        <w:tc>
                          <w:tcPr>
                            <w:tcW w:w="1060" w:type="dxa"/>
                            <w:tcBorders>
                              <w:top w:val="nil"/>
                              <w:left w:val="nil"/>
                              <w:bottom w:val="nil"/>
                              <w:right w:val="single" w:sz="4" w:space="0" w:color="auto"/>
                            </w:tcBorders>
                            <w:shd w:val="clear" w:color="000000" w:fill="FFFFFF"/>
                            <w:noWrap/>
                            <w:vAlign w:val="bottom"/>
                            <w:hideMark/>
                          </w:tcPr>
                          <w:p w14:paraId="735675B4" w14:textId="77777777" w:rsidR="00544E1F" w:rsidRPr="00544E1F" w:rsidRDefault="00544E1F" w:rsidP="00544E1F">
                            <w:pPr>
                              <w:rPr>
                                <w:szCs w:val="20"/>
                              </w:rPr>
                            </w:pPr>
                            <w:r w:rsidRPr="00544E1F">
                              <w:rPr>
                                <w:szCs w:val="20"/>
                              </w:rPr>
                              <w:t> </w:t>
                            </w:r>
                          </w:p>
                        </w:tc>
                      </w:tr>
                      <w:tr w:rsidR="00544E1F" w:rsidRPr="00544E1F" w14:paraId="72AC7788" w14:textId="77777777" w:rsidTr="00544E1F">
                        <w:trPr>
                          <w:trHeight w:val="255"/>
                        </w:trPr>
                        <w:tc>
                          <w:tcPr>
                            <w:tcW w:w="4280" w:type="dxa"/>
                            <w:tcBorders>
                              <w:top w:val="single" w:sz="4" w:space="0" w:color="auto"/>
                              <w:left w:val="single" w:sz="4" w:space="0" w:color="auto"/>
                              <w:bottom w:val="single" w:sz="4" w:space="0" w:color="auto"/>
                              <w:right w:val="nil"/>
                            </w:tcBorders>
                            <w:shd w:val="clear" w:color="000000" w:fill="FFFFFF"/>
                            <w:noWrap/>
                            <w:vAlign w:val="bottom"/>
                            <w:hideMark/>
                          </w:tcPr>
                          <w:p w14:paraId="12781249" w14:textId="77777777" w:rsidR="00544E1F" w:rsidRPr="00544E1F" w:rsidRDefault="00544E1F" w:rsidP="00544E1F">
                            <w:pPr>
                              <w:rPr>
                                <w:b/>
                                <w:bCs/>
                                <w:szCs w:val="20"/>
                              </w:rPr>
                            </w:pPr>
                            <w:r w:rsidRPr="00544E1F">
                              <w:rPr>
                                <w:b/>
                                <w:bCs/>
                                <w:szCs w:val="20"/>
                              </w:rPr>
                              <w:t>Indexering gemeentelijke bijdrage</w:t>
                            </w:r>
                          </w:p>
                        </w:tc>
                        <w:tc>
                          <w:tcPr>
                            <w:tcW w:w="880" w:type="dxa"/>
                            <w:tcBorders>
                              <w:top w:val="single" w:sz="4" w:space="0" w:color="auto"/>
                              <w:left w:val="single" w:sz="4" w:space="0" w:color="auto"/>
                              <w:bottom w:val="single" w:sz="4" w:space="0" w:color="auto"/>
                              <w:right w:val="nil"/>
                            </w:tcBorders>
                            <w:shd w:val="clear" w:color="000000" w:fill="FFFFFF"/>
                            <w:noWrap/>
                            <w:vAlign w:val="bottom"/>
                            <w:hideMark/>
                          </w:tcPr>
                          <w:p w14:paraId="23622754" w14:textId="77777777" w:rsidR="00544E1F" w:rsidRPr="00544E1F" w:rsidRDefault="00544E1F" w:rsidP="00544E1F">
                            <w:pPr>
                              <w:rPr>
                                <w:b/>
                                <w:bCs/>
                                <w:szCs w:val="20"/>
                              </w:rPr>
                            </w:pPr>
                            <w:r w:rsidRPr="00544E1F">
                              <w:rPr>
                                <w:b/>
                                <w:bCs/>
                                <w:szCs w:val="20"/>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8B8CD3" w14:textId="77777777" w:rsidR="00544E1F" w:rsidRPr="00544E1F" w:rsidRDefault="00544E1F" w:rsidP="00544E1F">
                            <w:pPr>
                              <w:rPr>
                                <w:b/>
                                <w:bCs/>
                                <w:szCs w:val="20"/>
                              </w:rPr>
                            </w:pPr>
                            <w:r w:rsidRPr="00544E1F">
                              <w:rPr>
                                <w:b/>
                                <w:bCs/>
                                <w:szCs w:val="20"/>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0FA61CD3" w14:textId="3A831DD7" w:rsidR="00544E1F" w:rsidRPr="00544E1F" w:rsidRDefault="00544E1F" w:rsidP="00544E1F">
                            <w:pPr>
                              <w:jc w:val="right"/>
                              <w:rPr>
                                <w:b/>
                                <w:bCs/>
                                <w:szCs w:val="20"/>
                              </w:rPr>
                            </w:pPr>
                            <w:r w:rsidRPr="00544E1F">
                              <w:rPr>
                                <w:b/>
                                <w:bCs/>
                                <w:szCs w:val="20"/>
                              </w:rPr>
                              <w:t>2,</w:t>
                            </w:r>
                            <w:r w:rsidR="005134F0">
                              <w:rPr>
                                <w:b/>
                                <w:bCs/>
                                <w:szCs w:val="20"/>
                              </w:rPr>
                              <w:t>68</w:t>
                            </w:r>
                            <w:r w:rsidRPr="00544E1F">
                              <w:rPr>
                                <w:b/>
                                <w:bCs/>
                                <w:szCs w:val="20"/>
                              </w:rPr>
                              <w:t>%</w:t>
                            </w:r>
                          </w:p>
                        </w:tc>
                      </w:tr>
                      <w:tr w:rsidR="00544E1F" w:rsidRPr="00544E1F" w14:paraId="728C9631" w14:textId="77777777" w:rsidTr="00544E1F">
                        <w:trPr>
                          <w:trHeight w:val="255"/>
                        </w:trPr>
                        <w:tc>
                          <w:tcPr>
                            <w:tcW w:w="4280" w:type="dxa"/>
                            <w:tcBorders>
                              <w:top w:val="nil"/>
                              <w:left w:val="nil"/>
                              <w:bottom w:val="nil"/>
                              <w:right w:val="nil"/>
                            </w:tcBorders>
                            <w:shd w:val="clear" w:color="000000" w:fill="FFFFFF"/>
                            <w:noWrap/>
                            <w:vAlign w:val="bottom"/>
                            <w:hideMark/>
                          </w:tcPr>
                          <w:p w14:paraId="5D72950A" w14:textId="52C8429D" w:rsidR="00544E1F" w:rsidRPr="00544E1F" w:rsidRDefault="00544E1F" w:rsidP="00544E1F">
                            <w:pPr>
                              <w:rPr>
                                <w:sz w:val="16"/>
                                <w:szCs w:val="16"/>
                              </w:rPr>
                            </w:pPr>
                            <w:r w:rsidRPr="00544E1F">
                              <w:rPr>
                                <w:sz w:val="16"/>
                                <w:szCs w:val="16"/>
                              </w:rPr>
                              <w:t xml:space="preserve">   MEV: Loonvoet sector overheid</w:t>
                            </w:r>
                          </w:p>
                        </w:tc>
                        <w:tc>
                          <w:tcPr>
                            <w:tcW w:w="880" w:type="dxa"/>
                            <w:tcBorders>
                              <w:top w:val="nil"/>
                              <w:left w:val="nil"/>
                              <w:bottom w:val="nil"/>
                              <w:right w:val="nil"/>
                            </w:tcBorders>
                            <w:shd w:val="clear" w:color="000000" w:fill="FFFFFF"/>
                            <w:noWrap/>
                            <w:vAlign w:val="bottom"/>
                            <w:hideMark/>
                          </w:tcPr>
                          <w:p w14:paraId="0FCC8B8F"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3512A825"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27C959F3" w14:textId="77777777" w:rsidR="00544E1F" w:rsidRPr="00544E1F" w:rsidRDefault="00544E1F" w:rsidP="00544E1F">
                            <w:pPr>
                              <w:rPr>
                                <w:szCs w:val="20"/>
                              </w:rPr>
                            </w:pPr>
                            <w:r w:rsidRPr="00544E1F">
                              <w:rPr>
                                <w:szCs w:val="20"/>
                              </w:rPr>
                              <w:t> </w:t>
                            </w:r>
                          </w:p>
                        </w:tc>
                      </w:tr>
                      <w:tr w:rsidR="00544E1F" w:rsidRPr="00544E1F" w14:paraId="5613DCA1" w14:textId="77777777" w:rsidTr="00544E1F">
                        <w:trPr>
                          <w:trHeight w:val="255"/>
                        </w:trPr>
                        <w:tc>
                          <w:tcPr>
                            <w:tcW w:w="4280" w:type="dxa"/>
                            <w:tcBorders>
                              <w:top w:val="nil"/>
                              <w:left w:val="nil"/>
                              <w:bottom w:val="nil"/>
                              <w:right w:val="nil"/>
                            </w:tcBorders>
                            <w:shd w:val="clear" w:color="000000" w:fill="FFFFFF"/>
                            <w:noWrap/>
                            <w:vAlign w:val="bottom"/>
                            <w:hideMark/>
                          </w:tcPr>
                          <w:p w14:paraId="166ACA9E" w14:textId="77777777" w:rsidR="00544E1F" w:rsidRPr="00544E1F" w:rsidRDefault="00544E1F" w:rsidP="00544E1F">
                            <w:pPr>
                              <w:rPr>
                                <w:sz w:val="16"/>
                                <w:szCs w:val="16"/>
                              </w:rPr>
                            </w:pPr>
                            <w:r w:rsidRPr="00544E1F">
                              <w:rPr>
                                <w:sz w:val="16"/>
                                <w:szCs w:val="16"/>
                              </w:rPr>
                              <w:t>** MEV: Prijs netto materiële overheidsconsumptie (IMOC)</w:t>
                            </w:r>
                          </w:p>
                        </w:tc>
                        <w:tc>
                          <w:tcPr>
                            <w:tcW w:w="880" w:type="dxa"/>
                            <w:tcBorders>
                              <w:top w:val="nil"/>
                              <w:left w:val="nil"/>
                              <w:bottom w:val="nil"/>
                              <w:right w:val="nil"/>
                            </w:tcBorders>
                            <w:shd w:val="clear" w:color="000000" w:fill="FFFFFF"/>
                            <w:noWrap/>
                            <w:vAlign w:val="bottom"/>
                            <w:hideMark/>
                          </w:tcPr>
                          <w:p w14:paraId="19EBC9C5"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05A85127" w14:textId="77777777" w:rsidR="00544E1F" w:rsidRPr="00544E1F" w:rsidRDefault="00544E1F" w:rsidP="00544E1F">
                            <w:pPr>
                              <w:rPr>
                                <w:szCs w:val="20"/>
                              </w:rPr>
                            </w:pPr>
                            <w:r w:rsidRPr="00544E1F">
                              <w:rPr>
                                <w:szCs w:val="20"/>
                              </w:rPr>
                              <w:t> </w:t>
                            </w:r>
                          </w:p>
                        </w:tc>
                        <w:tc>
                          <w:tcPr>
                            <w:tcW w:w="1060" w:type="dxa"/>
                            <w:tcBorders>
                              <w:top w:val="nil"/>
                              <w:left w:val="nil"/>
                              <w:bottom w:val="nil"/>
                              <w:right w:val="nil"/>
                            </w:tcBorders>
                            <w:shd w:val="clear" w:color="000000" w:fill="FFFFFF"/>
                            <w:noWrap/>
                            <w:vAlign w:val="bottom"/>
                            <w:hideMark/>
                          </w:tcPr>
                          <w:p w14:paraId="253DFCB1" w14:textId="77777777" w:rsidR="00544E1F" w:rsidRPr="00544E1F" w:rsidRDefault="00544E1F" w:rsidP="00544E1F">
                            <w:pPr>
                              <w:rPr>
                                <w:szCs w:val="20"/>
                              </w:rPr>
                            </w:pPr>
                            <w:r w:rsidRPr="00544E1F">
                              <w:rPr>
                                <w:szCs w:val="20"/>
                              </w:rPr>
                              <w:t> </w:t>
                            </w:r>
                          </w:p>
                        </w:tc>
                      </w:tr>
                    </w:tbl>
                    <w:p w14:paraId="5303ED85" w14:textId="77777777" w:rsidR="00FB0133" w:rsidRDefault="00FB0133" w:rsidP="003F26C6">
                      <w:pPr>
                        <w:pStyle w:val="Geenafstand"/>
                        <w:rPr>
                          <w:rFonts w:ascii="Arial" w:hAnsi="Arial" w:cs="Arial"/>
                          <w:sz w:val="20"/>
                          <w:szCs w:val="20"/>
                        </w:rPr>
                      </w:pPr>
                    </w:p>
                    <w:p w14:paraId="58BBE9C5" w14:textId="77777777" w:rsidR="00FB0133" w:rsidRDefault="00FB0133" w:rsidP="003F26C6">
                      <w:pPr>
                        <w:pStyle w:val="Geenafstand"/>
                        <w:rPr>
                          <w:rFonts w:ascii="Arial" w:hAnsi="Arial" w:cs="Arial"/>
                          <w:sz w:val="20"/>
                          <w:szCs w:val="20"/>
                        </w:rPr>
                      </w:pPr>
                    </w:p>
                    <w:p w14:paraId="3C041E55" w14:textId="77777777" w:rsidR="00FB0133" w:rsidRDefault="00FB0133" w:rsidP="003F26C6">
                      <w:pPr>
                        <w:pStyle w:val="Geenafstand"/>
                        <w:rPr>
                          <w:rFonts w:ascii="Arial" w:hAnsi="Arial" w:cs="Arial"/>
                          <w:sz w:val="20"/>
                          <w:szCs w:val="20"/>
                        </w:rPr>
                      </w:pPr>
                      <w:r>
                        <w:rPr>
                          <w:rFonts w:ascii="Arial" w:hAnsi="Arial" w:cs="Arial"/>
                          <w:sz w:val="20"/>
                          <w:szCs w:val="20"/>
                        </w:rPr>
                        <w:t>In bijlage 2 treft u een specificatie per gemeente aan van de bijdrage 20</w:t>
                      </w:r>
                      <w:r w:rsidR="00903A21">
                        <w:rPr>
                          <w:rFonts w:ascii="Arial" w:hAnsi="Arial" w:cs="Arial"/>
                          <w:sz w:val="20"/>
                          <w:szCs w:val="20"/>
                        </w:rPr>
                        <w:t>2</w:t>
                      </w:r>
                      <w:r w:rsidR="00544E1F">
                        <w:rPr>
                          <w:rFonts w:ascii="Arial" w:hAnsi="Arial" w:cs="Arial"/>
                          <w:sz w:val="20"/>
                          <w:szCs w:val="20"/>
                        </w:rPr>
                        <w:t>1</w:t>
                      </w:r>
                      <w:r>
                        <w:rPr>
                          <w:rFonts w:ascii="Arial" w:hAnsi="Arial" w:cs="Arial"/>
                          <w:sz w:val="20"/>
                          <w:szCs w:val="20"/>
                        </w:rPr>
                        <w:t xml:space="preserve">. </w:t>
                      </w:r>
                    </w:p>
                    <w:p w14:paraId="050C6EB6" w14:textId="77777777" w:rsidR="00FB0133" w:rsidRDefault="00FB0133" w:rsidP="003F26C6">
                      <w:pPr>
                        <w:pStyle w:val="Geenafstand"/>
                        <w:rPr>
                          <w:rFonts w:ascii="Arial" w:hAnsi="Arial" w:cs="Arial"/>
                          <w:sz w:val="20"/>
                          <w:szCs w:val="20"/>
                        </w:rPr>
                      </w:pPr>
                    </w:p>
                    <w:p w14:paraId="48FFE8B3" w14:textId="77777777" w:rsidR="003F26C6" w:rsidRPr="00994DF0" w:rsidRDefault="003F26C6" w:rsidP="003F26C6">
                      <w:pPr>
                        <w:pStyle w:val="Default"/>
                      </w:pPr>
                    </w:p>
                  </w:txbxContent>
                </v:textbox>
                <w10:wrap anchorx="margin"/>
              </v:shape>
            </w:pict>
          </mc:Fallback>
        </mc:AlternateContent>
      </w:r>
    </w:p>
    <w:p w14:paraId="394A410E" w14:textId="77777777" w:rsidR="003F26C6" w:rsidRDefault="003F26C6" w:rsidP="00B45453"/>
    <w:p w14:paraId="70AE905F" w14:textId="77777777" w:rsidR="003F26C6" w:rsidRDefault="003F26C6" w:rsidP="00B45453"/>
    <w:p w14:paraId="73E587FE" w14:textId="77777777" w:rsidR="003F26C6" w:rsidRDefault="003F26C6" w:rsidP="00B45453"/>
    <w:p w14:paraId="479F024D" w14:textId="77777777" w:rsidR="003F26C6" w:rsidRDefault="003F26C6" w:rsidP="00B45453"/>
    <w:p w14:paraId="3A281485" w14:textId="77777777" w:rsidR="003F26C6" w:rsidRDefault="003F26C6" w:rsidP="00B45453"/>
    <w:p w14:paraId="2EA81646" w14:textId="77777777" w:rsidR="003F26C6" w:rsidRDefault="003F26C6" w:rsidP="00B45453"/>
    <w:p w14:paraId="016B3AC0" w14:textId="77777777" w:rsidR="003F26C6" w:rsidRDefault="003F26C6" w:rsidP="00B45453"/>
    <w:p w14:paraId="09B97786" w14:textId="77777777" w:rsidR="003F26C6" w:rsidRDefault="003F26C6" w:rsidP="00B45453"/>
    <w:p w14:paraId="2B2B03C2" w14:textId="77777777" w:rsidR="003F26C6" w:rsidRDefault="003F26C6" w:rsidP="00B45453"/>
    <w:p w14:paraId="2C3BF1AC" w14:textId="77777777" w:rsidR="003F26C6" w:rsidRDefault="003F26C6" w:rsidP="00B45453"/>
    <w:p w14:paraId="12B31A8F" w14:textId="77777777" w:rsidR="003F26C6" w:rsidRDefault="003F26C6" w:rsidP="00B45453"/>
    <w:p w14:paraId="7C0E8B38" w14:textId="77777777" w:rsidR="003F26C6" w:rsidRDefault="003F26C6" w:rsidP="00B45453"/>
    <w:p w14:paraId="54FFCC6E" w14:textId="77777777" w:rsidR="003F26C6" w:rsidRDefault="003F26C6" w:rsidP="00B45453"/>
    <w:p w14:paraId="74527B8A" w14:textId="77777777" w:rsidR="003F26C6" w:rsidRDefault="003F26C6" w:rsidP="00B45453"/>
    <w:p w14:paraId="1B5A4656" w14:textId="77777777" w:rsidR="00FD4614" w:rsidRDefault="00FD4614" w:rsidP="004126D3"/>
    <w:p w14:paraId="7149059D" w14:textId="77777777" w:rsidR="00FB0133" w:rsidRDefault="00FB0133" w:rsidP="004126D3">
      <w:pPr>
        <w:rPr>
          <w:b/>
          <w:color w:val="00B0F0"/>
        </w:rPr>
      </w:pPr>
    </w:p>
    <w:p w14:paraId="196956F7" w14:textId="77777777" w:rsidR="00FB0133" w:rsidRDefault="00FB0133" w:rsidP="004126D3">
      <w:pPr>
        <w:rPr>
          <w:b/>
          <w:color w:val="00B0F0"/>
        </w:rPr>
      </w:pPr>
    </w:p>
    <w:p w14:paraId="793A102D" w14:textId="77777777" w:rsidR="00FD4614" w:rsidRDefault="004653D1" w:rsidP="004126D3">
      <w:r w:rsidRPr="00FD4614">
        <w:rPr>
          <w:b/>
          <w:color w:val="00B0F0"/>
        </w:rPr>
        <w:t>Mee</w:t>
      </w:r>
      <w:r w:rsidR="00FA4980" w:rsidRPr="00FD4614">
        <w:rPr>
          <w:b/>
          <w:color w:val="00B0F0"/>
        </w:rPr>
        <w:t>rjarenraming 20</w:t>
      </w:r>
      <w:r w:rsidR="004A3970">
        <w:rPr>
          <w:b/>
          <w:color w:val="00B0F0"/>
        </w:rPr>
        <w:t>2</w:t>
      </w:r>
      <w:r w:rsidR="00544E1F">
        <w:rPr>
          <w:b/>
          <w:color w:val="00B0F0"/>
        </w:rPr>
        <w:t>2</w:t>
      </w:r>
      <w:r w:rsidR="00FA4980" w:rsidRPr="00FD4614">
        <w:rPr>
          <w:b/>
          <w:color w:val="00B0F0"/>
        </w:rPr>
        <w:t xml:space="preserve"> e</w:t>
      </w:r>
      <w:r w:rsidR="00613FAA" w:rsidRPr="00FD4614">
        <w:rPr>
          <w:b/>
          <w:color w:val="00B0F0"/>
        </w:rPr>
        <w:t>n verdere jaren</w:t>
      </w:r>
      <w:r w:rsidR="00FA4980">
        <w:br/>
      </w:r>
    </w:p>
    <w:p w14:paraId="438B955E" w14:textId="77777777" w:rsidR="009644BD" w:rsidRPr="009B63B1" w:rsidRDefault="00103421" w:rsidP="009644BD">
      <w:r>
        <w:t>Voor de begrotingen 202</w:t>
      </w:r>
      <w:r w:rsidR="00544E1F">
        <w:t>2</w:t>
      </w:r>
      <w:r>
        <w:t xml:space="preserve"> en verder </w:t>
      </w:r>
      <w:r w:rsidR="009644BD" w:rsidRPr="00FA21C8">
        <w:t xml:space="preserve">worden de lasten en baten op hetzelfde niveau gehouden. Bij het vaststellen van de </w:t>
      </w:r>
      <w:r>
        <w:t xml:space="preserve">(financiële) </w:t>
      </w:r>
      <w:r w:rsidR="009644BD" w:rsidRPr="00FA21C8">
        <w:t xml:space="preserve">uitgangspunten </w:t>
      </w:r>
      <w:r>
        <w:t xml:space="preserve">in de betreffende kadernota’s </w:t>
      </w:r>
      <w:r w:rsidR="009644BD" w:rsidRPr="00FA21C8">
        <w:t>voor de</w:t>
      </w:r>
      <w:r>
        <w:t>ze</w:t>
      </w:r>
      <w:r w:rsidR="009644BD" w:rsidRPr="00FA21C8">
        <w:t xml:space="preserve"> begrotingen</w:t>
      </w:r>
      <w:r>
        <w:t xml:space="preserve">, </w:t>
      </w:r>
      <w:r w:rsidR="009644BD" w:rsidRPr="00FA21C8">
        <w:t>zal door het Algemeen Bestuur worden bepaald of en met welk percentage de lasten en baten geïndexeerd mogen worden.</w:t>
      </w:r>
    </w:p>
    <w:p w14:paraId="5CEE1D46" w14:textId="77777777" w:rsidR="00DA4FE4" w:rsidRDefault="008860C7" w:rsidP="004126D3">
      <w:r>
        <w:br/>
      </w:r>
      <w:r w:rsidR="00081887" w:rsidRPr="00081887">
        <w:rPr>
          <w:b/>
          <w:bCs/>
          <w:color w:val="5F497A" w:themeColor="accent4" w:themeShade="BF"/>
          <w:kern w:val="32"/>
          <w:sz w:val="22"/>
          <w:szCs w:val="22"/>
        </w:rPr>
        <w:t>3. Pensioenkostenontwikkeling</w:t>
      </w:r>
    </w:p>
    <w:p w14:paraId="35E5F660" w14:textId="77777777" w:rsidR="00081887" w:rsidRDefault="00081887" w:rsidP="00081887"/>
    <w:p w14:paraId="03808B7D" w14:textId="77777777" w:rsidR="005D611D" w:rsidRDefault="00081887" w:rsidP="005D611D">
      <w:r>
        <w:t xml:space="preserve">Een stijging van (het werkgeversdeel) van de pensioenkosten maakt geen onderdeel uit van het percentage loonvoet sector overheid zoals gepresenteerd in de Macro Economische Verkenningen. Deze stijging wordt beschouwd als niet beïnvloedbaar en wordt door de deelnemende gemeenten afzonderlijk gecompenseerd. </w:t>
      </w:r>
      <w:r w:rsidR="005D611D" w:rsidRPr="005D611D">
        <w:t>Deze werkwijze wordt door alle vier de gemeenschappelijke regelingen GGD, ODZOB, Veiligheidsregio en Metropoolregio Eindhoven gehanteerd.</w:t>
      </w:r>
    </w:p>
    <w:p w14:paraId="2D26813B" w14:textId="77777777" w:rsidR="005D611D" w:rsidRDefault="005D611D" w:rsidP="004126D3"/>
    <w:p w14:paraId="02C69D8B" w14:textId="77777777" w:rsidR="001A2B09" w:rsidRDefault="001A2B09" w:rsidP="005D611D">
      <w:pPr>
        <w:autoSpaceDE w:val="0"/>
        <w:autoSpaceDN w:val="0"/>
        <w:adjustRightInd w:val="0"/>
      </w:pPr>
    </w:p>
    <w:p w14:paraId="60B22FBF" w14:textId="77777777" w:rsidR="001A2B09" w:rsidRDefault="001A2B09" w:rsidP="005D611D">
      <w:pPr>
        <w:autoSpaceDE w:val="0"/>
        <w:autoSpaceDN w:val="0"/>
        <w:adjustRightInd w:val="0"/>
      </w:pPr>
    </w:p>
    <w:p w14:paraId="17007D40" w14:textId="18967FD1" w:rsidR="005D611D" w:rsidRPr="005D611D" w:rsidRDefault="005D611D" w:rsidP="005D611D">
      <w:pPr>
        <w:autoSpaceDE w:val="0"/>
        <w:autoSpaceDN w:val="0"/>
        <w:adjustRightInd w:val="0"/>
      </w:pPr>
      <w:r w:rsidRPr="005D611D">
        <w:lastRenderedPageBreak/>
        <w:t xml:space="preserve">Bij het opmaken van deze kadernota heeft het APB nog geen aankondiging gedaan van de pensioenpremies voor 2020 en verder. Wel geeft ABP een doorkijk voor de premie van de komende jaren: </w:t>
      </w:r>
    </w:p>
    <w:p w14:paraId="22166080" w14:textId="77777777" w:rsidR="005D611D" w:rsidRDefault="005D611D" w:rsidP="005D611D">
      <w:pPr>
        <w:rPr>
          <w:rFonts w:eastAsiaTheme="minorHAnsi"/>
          <w:i/>
          <w:iCs/>
          <w:color w:val="000000"/>
          <w:sz w:val="18"/>
          <w:szCs w:val="18"/>
          <w:lang w:eastAsia="en-US"/>
        </w:rPr>
      </w:pPr>
    </w:p>
    <w:p w14:paraId="4807B880" w14:textId="0E851229" w:rsidR="005D611D" w:rsidRPr="005D611D" w:rsidRDefault="005D611D" w:rsidP="005D611D">
      <w:pPr>
        <w:rPr>
          <w:szCs w:val="20"/>
        </w:rPr>
      </w:pPr>
      <w:r w:rsidRPr="005D611D">
        <w:rPr>
          <w:rFonts w:eastAsiaTheme="minorHAnsi"/>
          <w:i/>
          <w:iCs/>
          <w:color w:val="000000"/>
          <w:szCs w:val="20"/>
          <w:lang w:eastAsia="en-US"/>
        </w:rPr>
        <w:t xml:space="preserve">“ABP is bezig de voor de toekomst te verwachten flinke stijging van de pensioenpremie in kaart te brengen. Een belangrijke bouwsteen daarbij is de aanhoudend lagere rente en lagere rendementsverwachting vanaf 2021. Dit heeft </w:t>
      </w:r>
      <w:r w:rsidRPr="005D611D">
        <w:rPr>
          <w:i/>
          <w:iCs/>
          <w:szCs w:val="20"/>
        </w:rPr>
        <w:t>ook reeds de aandacht van de sociale partners. Genoemde elementen zijn van invloed op het vaststellen van de premie voor de komende jaren.”</w:t>
      </w:r>
    </w:p>
    <w:p w14:paraId="4069B48D" w14:textId="77777777" w:rsidR="005D611D" w:rsidRDefault="005D611D" w:rsidP="004126D3"/>
    <w:p w14:paraId="6B40A979" w14:textId="62A1C46D" w:rsidR="005D611D" w:rsidRDefault="005D611D" w:rsidP="004126D3">
      <w:pPr>
        <w:rPr>
          <w:rFonts w:cs="Times New Roman"/>
          <w:szCs w:val="20"/>
        </w:rPr>
      </w:pPr>
      <w:r w:rsidRPr="005D611D">
        <w:rPr>
          <w:szCs w:val="20"/>
        </w:rPr>
        <w:t xml:space="preserve">Eind november volgt de publicatie van de premie voor 2020. Mogelijk is er dan ook meer beeld bij de premie voor de langere termijn. </w:t>
      </w:r>
      <w:r w:rsidR="00081887" w:rsidRPr="005D611D">
        <w:rPr>
          <w:rFonts w:cs="Times New Roman"/>
          <w:szCs w:val="20"/>
        </w:rPr>
        <w:t xml:space="preserve"> </w:t>
      </w:r>
    </w:p>
    <w:p w14:paraId="72F983BA" w14:textId="77777777" w:rsidR="00136B15" w:rsidRPr="005D611D" w:rsidRDefault="00136B15" w:rsidP="004126D3">
      <w:pPr>
        <w:rPr>
          <w:rFonts w:cs="Times New Roman"/>
          <w:szCs w:val="20"/>
        </w:rPr>
      </w:pPr>
    </w:p>
    <w:p w14:paraId="5CAFF0C3" w14:textId="77777777" w:rsidR="00613FAA" w:rsidRDefault="00081887" w:rsidP="004126D3">
      <w:r>
        <w:rPr>
          <w:b/>
          <w:bCs/>
          <w:color w:val="5F497A" w:themeColor="accent4" w:themeShade="BF"/>
          <w:kern w:val="32"/>
          <w:sz w:val="22"/>
          <w:szCs w:val="22"/>
        </w:rPr>
        <w:t>4</w:t>
      </w:r>
      <w:r w:rsidR="004653D1" w:rsidRPr="007A4E20">
        <w:rPr>
          <w:b/>
          <w:bCs/>
          <w:color w:val="5F497A" w:themeColor="accent4" w:themeShade="BF"/>
          <w:kern w:val="32"/>
          <w:sz w:val="22"/>
          <w:szCs w:val="22"/>
        </w:rPr>
        <w:t xml:space="preserve">. </w:t>
      </w:r>
      <w:r w:rsidR="007A4E20">
        <w:rPr>
          <w:b/>
          <w:bCs/>
          <w:color w:val="5F497A" w:themeColor="accent4" w:themeShade="BF"/>
          <w:kern w:val="32"/>
          <w:sz w:val="22"/>
          <w:szCs w:val="22"/>
        </w:rPr>
        <w:t>Nieuw beleid</w:t>
      </w:r>
      <w:r w:rsidR="004653D1" w:rsidRPr="00B45453">
        <w:rPr>
          <w:b/>
          <w:bCs/>
          <w:kern w:val="32"/>
          <w:sz w:val="28"/>
          <w:szCs w:val="28"/>
        </w:rPr>
        <w:br/>
      </w:r>
    </w:p>
    <w:p w14:paraId="64B457E2" w14:textId="77777777" w:rsidR="0053250B" w:rsidRDefault="0053250B" w:rsidP="0053250B">
      <w:pPr>
        <w:tabs>
          <w:tab w:val="left" w:pos="1993"/>
          <w:tab w:val="left" w:pos="2277"/>
        </w:tabs>
      </w:pPr>
      <w:r>
        <w:t>De Begroting 20</w:t>
      </w:r>
      <w:r w:rsidR="003839D2">
        <w:t>2</w:t>
      </w:r>
      <w:r w:rsidR="00544E1F">
        <w:t>1</w:t>
      </w:r>
      <w:r>
        <w:t xml:space="preserve"> maakt onderdeel uit van </w:t>
      </w:r>
      <w:r w:rsidR="00544E1F">
        <w:t xml:space="preserve">het nieuwe Samenwerkingsakkoord </w:t>
      </w:r>
      <w:r>
        <w:t xml:space="preserve">2019-2022. </w:t>
      </w:r>
      <w:r w:rsidR="00544E1F">
        <w:t>Voor het begrotingsjaar 2021 is er geen sprake van nieuw</w:t>
      </w:r>
      <w:r w:rsidR="00D4131F">
        <w:t xml:space="preserve"> beleid. </w:t>
      </w:r>
    </w:p>
    <w:p w14:paraId="759C5A48" w14:textId="77777777" w:rsidR="00544E1F" w:rsidRDefault="00544E1F" w:rsidP="0053250B">
      <w:pPr>
        <w:tabs>
          <w:tab w:val="left" w:pos="1993"/>
          <w:tab w:val="left" w:pos="2277"/>
        </w:tabs>
      </w:pPr>
    </w:p>
    <w:p w14:paraId="0A406C8D" w14:textId="77777777" w:rsidR="00544E1F" w:rsidRDefault="00544E1F" w:rsidP="0053250B">
      <w:pPr>
        <w:tabs>
          <w:tab w:val="left" w:pos="1993"/>
          <w:tab w:val="left" w:pos="2277"/>
        </w:tabs>
      </w:pPr>
    </w:p>
    <w:p w14:paraId="64912261" w14:textId="402BFF59" w:rsidR="00544E1F" w:rsidRDefault="00544E1F" w:rsidP="0053250B">
      <w:pPr>
        <w:tabs>
          <w:tab w:val="left" w:pos="1993"/>
          <w:tab w:val="left" w:pos="2277"/>
        </w:tabs>
      </w:pPr>
    </w:p>
    <w:p w14:paraId="72EFDC76" w14:textId="76E9809E" w:rsidR="005D611D" w:rsidRDefault="005D611D" w:rsidP="0053250B">
      <w:pPr>
        <w:tabs>
          <w:tab w:val="left" w:pos="1993"/>
          <w:tab w:val="left" w:pos="2277"/>
        </w:tabs>
      </w:pPr>
    </w:p>
    <w:p w14:paraId="76F82103" w14:textId="2817546C" w:rsidR="005D611D" w:rsidRDefault="005D611D" w:rsidP="0053250B">
      <w:pPr>
        <w:tabs>
          <w:tab w:val="left" w:pos="1993"/>
          <w:tab w:val="left" w:pos="2277"/>
        </w:tabs>
      </w:pPr>
    </w:p>
    <w:p w14:paraId="220E6F1B" w14:textId="1EC9174F" w:rsidR="005D611D" w:rsidRDefault="005D611D" w:rsidP="0053250B">
      <w:pPr>
        <w:tabs>
          <w:tab w:val="left" w:pos="1993"/>
          <w:tab w:val="left" w:pos="2277"/>
        </w:tabs>
      </w:pPr>
    </w:p>
    <w:p w14:paraId="238FE387" w14:textId="621883DD" w:rsidR="005D611D" w:rsidRDefault="005D611D" w:rsidP="0053250B">
      <w:pPr>
        <w:tabs>
          <w:tab w:val="left" w:pos="1993"/>
          <w:tab w:val="left" w:pos="2277"/>
        </w:tabs>
      </w:pPr>
    </w:p>
    <w:p w14:paraId="61879C9C" w14:textId="2A8FF905" w:rsidR="005D611D" w:rsidRDefault="005D611D" w:rsidP="0053250B">
      <w:pPr>
        <w:tabs>
          <w:tab w:val="left" w:pos="1993"/>
          <w:tab w:val="left" w:pos="2277"/>
        </w:tabs>
      </w:pPr>
    </w:p>
    <w:p w14:paraId="70510151" w14:textId="6EAC6BB8" w:rsidR="005D611D" w:rsidRDefault="005D611D" w:rsidP="0053250B">
      <w:pPr>
        <w:tabs>
          <w:tab w:val="left" w:pos="1993"/>
          <w:tab w:val="left" w:pos="2277"/>
        </w:tabs>
      </w:pPr>
    </w:p>
    <w:p w14:paraId="67AD763D" w14:textId="049E00DE" w:rsidR="005D611D" w:rsidRDefault="005D611D" w:rsidP="0053250B">
      <w:pPr>
        <w:tabs>
          <w:tab w:val="left" w:pos="1993"/>
          <w:tab w:val="left" w:pos="2277"/>
        </w:tabs>
      </w:pPr>
    </w:p>
    <w:p w14:paraId="3C93FE0B" w14:textId="1485CB15" w:rsidR="005D611D" w:rsidRDefault="005D611D" w:rsidP="0053250B">
      <w:pPr>
        <w:tabs>
          <w:tab w:val="left" w:pos="1993"/>
          <w:tab w:val="left" w:pos="2277"/>
        </w:tabs>
      </w:pPr>
    </w:p>
    <w:p w14:paraId="6BCCAB5C" w14:textId="25D6D43F" w:rsidR="005D611D" w:rsidRDefault="005D611D" w:rsidP="0053250B">
      <w:pPr>
        <w:tabs>
          <w:tab w:val="left" w:pos="1993"/>
          <w:tab w:val="left" w:pos="2277"/>
        </w:tabs>
      </w:pPr>
    </w:p>
    <w:p w14:paraId="3D99370D" w14:textId="39E1B01C" w:rsidR="005D611D" w:rsidRDefault="005D611D" w:rsidP="0053250B">
      <w:pPr>
        <w:tabs>
          <w:tab w:val="left" w:pos="1993"/>
          <w:tab w:val="left" w:pos="2277"/>
        </w:tabs>
      </w:pPr>
    </w:p>
    <w:p w14:paraId="222DF977" w14:textId="58C81528" w:rsidR="005D611D" w:rsidRDefault="005D611D" w:rsidP="0053250B">
      <w:pPr>
        <w:tabs>
          <w:tab w:val="left" w:pos="1993"/>
          <w:tab w:val="left" w:pos="2277"/>
        </w:tabs>
      </w:pPr>
    </w:p>
    <w:p w14:paraId="0EE091F3" w14:textId="584BD8C3" w:rsidR="005D611D" w:rsidRDefault="005D611D" w:rsidP="0053250B">
      <w:pPr>
        <w:tabs>
          <w:tab w:val="left" w:pos="1993"/>
          <w:tab w:val="left" w:pos="2277"/>
        </w:tabs>
      </w:pPr>
    </w:p>
    <w:p w14:paraId="70C7A799" w14:textId="367594F7" w:rsidR="005D611D" w:rsidRDefault="005D611D" w:rsidP="0053250B">
      <w:pPr>
        <w:tabs>
          <w:tab w:val="left" w:pos="1993"/>
          <w:tab w:val="left" w:pos="2277"/>
        </w:tabs>
      </w:pPr>
    </w:p>
    <w:p w14:paraId="57E08F49" w14:textId="5CE5CF44" w:rsidR="005D611D" w:rsidRDefault="005D611D" w:rsidP="0053250B">
      <w:pPr>
        <w:tabs>
          <w:tab w:val="left" w:pos="1993"/>
          <w:tab w:val="left" w:pos="2277"/>
        </w:tabs>
      </w:pPr>
    </w:p>
    <w:p w14:paraId="774D452F" w14:textId="6A6401F9" w:rsidR="005D611D" w:rsidRDefault="005D611D" w:rsidP="0053250B">
      <w:pPr>
        <w:tabs>
          <w:tab w:val="left" w:pos="1993"/>
          <w:tab w:val="left" w:pos="2277"/>
        </w:tabs>
      </w:pPr>
    </w:p>
    <w:p w14:paraId="19ACAEDC" w14:textId="10BCFC00" w:rsidR="005D611D" w:rsidRDefault="005D611D" w:rsidP="0053250B">
      <w:pPr>
        <w:tabs>
          <w:tab w:val="left" w:pos="1993"/>
          <w:tab w:val="left" w:pos="2277"/>
        </w:tabs>
      </w:pPr>
    </w:p>
    <w:p w14:paraId="3D1C49D1" w14:textId="0148AB26" w:rsidR="005D611D" w:rsidRDefault="005D611D" w:rsidP="0053250B">
      <w:pPr>
        <w:tabs>
          <w:tab w:val="left" w:pos="1993"/>
          <w:tab w:val="left" w:pos="2277"/>
        </w:tabs>
      </w:pPr>
    </w:p>
    <w:p w14:paraId="5BDA8A93" w14:textId="6A0304F7" w:rsidR="005D611D" w:rsidRDefault="005D611D" w:rsidP="0053250B">
      <w:pPr>
        <w:tabs>
          <w:tab w:val="left" w:pos="1993"/>
          <w:tab w:val="left" w:pos="2277"/>
        </w:tabs>
      </w:pPr>
    </w:p>
    <w:p w14:paraId="10E25BB0" w14:textId="56E42E40" w:rsidR="005D611D" w:rsidRDefault="005D611D" w:rsidP="0053250B">
      <w:pPr>
        <w:tabs>
          <w:tab w:val="left" w:pos="1993"/>
          <w:tab w:val="left" w:pos="2277"/>
        </w:tabs>
      </w:pPr>
    </w:p>
    <w:p w14:paraId="0ACF39C0" w14:textId="4AE72ED3" w:rsidR="005D611D" w:rsidRDefault="005D611D" w:rsidP="0053250B">
      <w:pPr>
        <w:tabs>
          <w:tab w:val="left" w:pos="1993"/>
          <w:tab w:val="left" w:pos="2277"/>
        </w:tabs>
      </w:pPr>
    </w:p>
    <w:p w14:paraId="21FC37B6" w14:textId="63F1F989" w:rsidR="005D611D" w:rsidRDefault="005D611D" w:rsidP="0053250B">
      <w:pPr>
        <w:tabs>
          <w:tab w:val="left" w:pos="1993"/>
          <w:tab w:val="left" w:pos="2277"/>
        </w:tabs>
      </w:pPr>
    </w:p>
    <w:p w14:paraId="54FEF45B" w14:textId="124389BB" w:rsidR="005D611D" w:rsidRDefault="005D611D" w:rsidP="0053250B">
      <w:pPr>
        <w:tabs>
          <w:tab w:val="left" w:pos="1993"/>
          <w:tab w:val="left" w:pos="2277"/>
        </w:tabs>
      </w:pPr>
    </w:p>
    <w:p w14:paraId="44077D6F" w14:textId="6E63F57F" w:rsidR="005D611D" w:rsidRDefault="005D611D" w:rsidP="0053250B">
      <w:pPr>
        <w:tabs>
          <w:tab w:val="left" w:pos="1993"/>
          <w:tab w:val="left" w:pos="2277"/>
        </w:tabs>
      </w:pPr>
    </w:p>
    <w:p w14:paraId="0BCDF1BD" w14:textId="76BFA903" w:rsidR="005D611D" w:rsidRDefault="005D611D" w:rsidP="0053250B">
      <w:pPr>
        <w:tabs>
          <w:tab w:val="left" w:pos="1993"/>
          <w:tab w:val="left" w:pos="2277"/>
        </w:tabs>
      </w:pPr>
    </w:p>
    <w:p w14:paraId="31C3D1A0" w14:textId="404DB294" w:rsidR="005D611D" w:rsidRDefault="005D611D" w:rsidP="0053250B">
      <w:pPr>
        <w:tabs>
          <w:tab w:val="left" w:pos="1993"/>
          <w:tab w:val="left" w:pos="2277"/>
        </w:tabs>
      </w:pPr>
    </w:p>
    <w:p w14:paraId="7FC8AE3B" w14:textId="50D0FECD" w:rsidR="005D611D" w:rsidRDefault="005D611D" w:rsidP="0053250B">
      <w:pPr>
        <w:tabs>
          <w:tab w:val="left" w:pos="1993"/>
          <w:tab w:val="left" w:pos="2277"/>
        </w:tabs>
      </w:pPr>
    </w:p>
    <w:p w14:paraId="7CCBD191" w14:textId="32339260" w:rsidR="005D611D" w:rsidRDefault="005D611D" w:rsidP="0053250B">
      <w:pPr>
        <w:tabs>
          <w:tab w:val="left" w:pos="1993"/>
          <w:tab w:val="left" w:pos="2277"/>
        </w:tabs>
      </w:pPr>
    </w:p>
    <w:p w14:paraId="7F833986" w14:textId="6842C2E9" w:rsidR="005D611D" w:rsidRDefault="005D611D" w:rsidP="0053250B">
      <w:pPr>
        <w:tabs>
          <w:tab w:val="left" w:pos="1993"/>
          <w:tab w:val="left" w:pos="2277"/>
        </w:tabs>
      </w:pPr>
    </w:p>
    <w:p w14:paraId="643C60F3" w14:textId="7B60313A" w:rsidR="005D611D" w:rsidRDefault="005D611D" w:rsidP="0053250B">
      <w:pPr>
        <w:tabs>
          <w:tab w:val="left" w:pos="1993"/>
          <w:tab w:val="left" w:pos="2277"/>
        </w:tabs>
      </w:pPr>
    </w:p>
    <w:p w14:paraId="344D6DF0" w14:textId="197F715F" w:rsidR="005D611D" w:rsidRDefault="005D611D" w:rsidP="0053250B">
      <w:pPr>
        <w:tabs>
          <w:tab w:val="left" w:pos="1993"/>
          <w:tab w:val="left" w:pos="2277"/>
        </w:tabs>
      </w:pPr>
    </w:p>
    <w:p w14:paraId="492D138A" w14:textId="615380A7" w:rsidR="005D611D" w:rsidRDefault="005D611D" w:rsidP="0053250B">
      <w:pPr>
        <w:tabs>
          <w:tab w:val="left" w:pos="1993"/>
          <w:tab w:val="left" w:pos="2277"/>
        </w:tabs>
      </w:pPr>
    </w:p>
    <w:p w14:paraId="5B7B799B" w14:textId="2AF52193" w:rsidR="005D611D" w:rsidRDefault="005D611D" w:rsidP="0053250B">
      <w:pPr>
        <w:tabs>
          <w:tab w:val="left" w:pos="1993"/>
          <w:tab w:val="left" w:pos="2277"/>
        </w:tabs>
      </w:pPr>
    </w:p>
    <w:p w14:paraId="1915DE52" w14:textId="76FEA210" w:rsidR="005D611D" w:rsidRDefault="005D611D" w:rsidP="0053250B">
      <w:pPr>
        <w:tabs>
          <w:tab w:val="left" w:pos="1993"/>
          <w:tab w:val="left" w:pos="2277"/>
        </w:tabs>
      </w:pPr>
    </w:p>
    <w:p w14:paraId="219C3B72" w14:textId="01A1532B" w:rsidR="005D611D" w:rsidRDefault="005D611D" w:rsidP="0053250B">
      <w:pPr>
        <w:tabs>
          <w:tab w:val="left" w:pos="1993"/>
          <w:tab w:val="left" w:pos="2277"/>
        </w:tabs>
      </w:pPr>
    </w:p>
    <w:p w14:paraId="2500486D" w14:textId="16E75318" w:rsidR="005D611D" w:rsidRDefault="005D611D" w:rsidP="0053250B">
      <w:pPr>
        <w:tabs>
          <w:tab w:val="left" w:pos="1993"/>
          <w:tab w:val="left" w:pos="2277"/>
        </w:tabs>
      </w:pPr>
    </w:p>
    <w:p w14:paraId="436B885D" w14:textId="0F5B224E" w:rsidR="005D611D" w:rsidRDefault="005D611D" w:rsidP="0053250B">
      <w:pPr>
        <w:tabs>
          <w:tab w:val="left" w:pos="1993"/>
          <w:tab w:val="left" w:pos="2277"/>
        </w:tabs>
      </w:pPr>
    </w:p>
    <w:p w14:paraId="363FC348" w14:textId="47337CCB" w:rsidR="005D611D" w:rsidRDefault="005D611D" w:rsidP="0053250B">
      <w:pPr>
        <w:tabs>
          <w:tab w:val="left" w:pos="1993"/>
          <w:tab w:val="left" w:pos="2277"/>
        </w:tabs>
      </w:pPr>
    </w:p>
    <w:p w14:paraId="1D475735" w14:textId="54E94F77" w:rsidR="005D611D" w:rsidRDefault="005D611D" w:rsidP="0053250B">
      <w:pPr>
        <w:tabs>
          <w:tab w:val="left" w:pos="1993"/>
          <w:tab w:val="left" w:pos="2277"/>
        </w:tabs>
      </w:pPr>
    </w:p>
    <w:p w14:paraId="159A5F73" w14:textId="5E4C82BC" w:rsidR="005D611D" w:rsidRDefault="005D611D" w:rsidP="0053250B">
      <w:pPr>
        <w:tabs>
          <w:tab w:val="left" w:pos="1993"/>
          <w:tab w:val="left" w:pos="2277"/>
        </w:tabs>
      </w:pPr>
    </w:p>
    <w:p w14:paraId="38405CD6" w14:textId="18363EDC" w:rsidR="005D611D" w:rsidRDefault="005D611D" w:rsidP="0053250B">
      <w:pPr>
        <w:tabs>
          <w:tab w:val="left" w:pos="1993"/>
          <w:tab w:val="left" w:pos="2277"/>
        </w:tabs>
      </w:pPr>
    </w:p>
    <w:p w14:paraId="74162B7A" w14:textId="118ED1F2" w:rsidR="005D611D" w:rsidRDefault="005D611D" w:rsidP="0053250B">
      <w:pPr>
        <w:tabs>
          <w:tab w:val="left" w:pos="1993"/>
          <w:tab w:val="left" w:pos="2277"/>
        </w:tabs>
      </w:pPr>
    </w:p>
    <w:p w14:paraId="6CA180EB" w14:textId="77777777" w:rsidR="00DA4FE4" w:rsidRDefault="00DA4FE4" w:rsidP="004126D3">
      <w:pPr>
        <w:rPr>
          <w:b/>
          <w:color w:val="00B0F0"/>
          <w:sz w:val="24"/>
        </w:rPr>
      </w:pPr>
      <w:r w:rsidRPr="00D939A7">
        <w:rPr>
          <w:b/>
          <w:color w:val="00B0F0"/>
          <w:sz w:val="24"/>
        </w:rPr>
        <w:lastRenderedPageBreak/>
        <w:t>Bijlage 1</w:t>
      </w:r>
      <w:r w:rsidRPr="00D939A7">
        <w:rPr>
          <w:b/>
          <w:color w:val="00B0F0"/>
          <w:sz w:val="24"/>
        </w:rPr>
        <w:tab/>
        <w:t>Macro Economische Verkenning 20</w:t>
      </w:r>
      <w:r w:rsidR="00544E1F">
        <w:rPr>
          <w:b/>
          <w:color w:val="00B0F0"/>
          <w:sz w:val="24"/>
        </w:rPr>
        <w:t>20</w:t>
      </w:r>
      <w:r w:rsidRPr="00D939A7">
        <w:rPr>
          <w:b/>
          <w:color w:val="00B0F0"/>
          <w:sz w:val="24"/>
        </w:rPr>
        <w:t xml:space="preserve"> kerngegevens</w:t>
      </w:r>
    </w:p>
    <w:p w14:paraId="0ADBA3A5" w14:textId="77777777" w:rsidR="00F01412" w:rsidRDefault="00F01412" w:rsidP="004126D3">
      <w:pPr>
        <w:rPr>
          <w:b/>
          <w:color w:val="00B0F0"/>
          <w:szCs w:val="20"/>
        </w:rPr>
      </w:pPr>
    </w:p>
    <w:p w14:paraId="2721B68D" w14:textId="686A5C41" w:rsidR="00C64C88" w:rsidRDefault="00C64C88" w:rsidP="004126D3">
      <w:pPr>
        <w:rPr>
          <w:szCs w:val="20"/>
        </w:rPr>
      </w:pPr>
    </w:p>
    <w:p w14:paraId="53650F3F" w14:textId="77777777" w:rsidR="00C64C88" w:rsidRDefault="00C64C88" w:rsidP="00C64C88">
      <w:pPr>
        <w:rPr>
          <w:szCs w:val="20"/>
        </w:rPr>
      </w:pPr>
    </w:p>
    <w:p w14:paraId="6706BD6D" w14:textId="77777777" w:rsidR="00C64C88" w:rsidRDefault="00C64C88" w:rsidP="00C64C88">
      <w:pPr>
        <w:rPr>
          <w:noProof/>
          <w:szCs w:val="20"/>
        </w:rPr>
      </w:pPr>
    </w:p>
    <w:p w14:paraId="089DDAC3" w14:textId="537B2418" w:rsidR="006A6AA5" w:rsidRDefault="00CD3BBA" w:rsidP="00C64C88">
      <w:pPr>
        <w:rPr>
          <w:noProof/>
          <w:szCs w:val="20"/>
        </w:rPr>
      </w:pPr>
      <w:r w:rsidRPr="00D939A7">
        <w:rPr>
          <w:noProof/>
        </w:rPr>
        <w:drawing>
          <wp:inline distT="0" distB="0" distL="0" distR="0" wp14:anchorId="362480A4" wp14:editId="7C073C5D">
            <wp:extent cx="5731510" cy="1334135"/>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34135"/>
                    </a:xfrm>
                    <a:prstGeom prst="rect">
                      <a:avLst/>
                    </a:prstGeom>
                  </pic:spPr>
                </pic:pic>
              </a:graphicData>
            </a:graphic>
          </wp:inline>
        </w:drawing>
      </w:r>
    </w:p>
    <w:p w14:paraId="3EC12693" w14:textId="229300F8" w:rsidR="006A6AA5" w:rsidRDefault="00CD3BBA" w:rsidP="00C64C88">
      <w:pPr>
        <w:rPr>
          <w:noProof/>
          <w:szCs w:val="20"/>
        </w:rPr>
      </w:pPr>
      <w:r w:rsidRPr="00CD3BBA">
        <w:rPr>
          <w:noProof/>
        </w:rPr>
        <w:drawing>
          <wp:inline distT="0" distB="0" distL="0" distR="0" wp14:anchorId="7C98FA7D" wp14:editId="3FC9655F">
            <wp:extent cx="5763491" cy="6672777"/>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6943" cy="6688351"/>
                    </a:xfrm>
                    <a:prstGeom prst="rect">
                      <a:avLst/>
                    </a:prstGeom>
                    <a:noFill/>
                    <a:ln>
                      <a:noFill/>
                    </a:ln>
                  </pic:spPr>
                </pic:pic>
              </a:graphicData>
            </a:graphic>
          </wp:inline>
        </w:drawing>
      </w:r>
    </w:p>
    <w:p w14:paraId="12F1AECB" w14:textId="5DF9849B" w:rsidR="00D939A7" w:rsidRDefault="009550A0" w:rsidP="00C64C88">
      <w:pPr>
        <w:rPr>
          <w:noProof/>
          <w:szCs w:val="20"/>
        </w:rPr>
      </w:pPr>
      <w:r w:rsidRPr="00D939A7">
        <w:rPr>
          <w:noProof/>
        </w:rPr>
        <w:lastRenderedPageBreak/>
        <w:drawing>
          <wp:inline distT="0" distB="0" distL="0" distR="0" wp14:anchorId="486125AB" wp14:editId="059970D1">
            <wp:extent cx="5731510" cy="1334135"/>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34135"/>
                    </a:xfrm>
                    <a:prstGeom prst="rect">
                      <a:avLst/>
                    </a:prstGeom>
                  </pic:spPr>
                </pic:pic>
              </a:graphicData>
            </a:graphic>
          </wp:inline>
        </w:drawing>
      </w:r>
    </w:p>
    <w:p w14:paraId="5CCB6FF8" w14:textId="719BB901" w:rsidR="006A6AA5" w:rsidRDefault="009550A0" w:rsidP="00C64C88">
      <w:pPr>
        <w:rPr>
          <w:noProof/>
          <w:szCs w:val="20"/>
        </w:rPr>
      </w:pPr>
      <w:r w:rsidRPr="009550A0">
        <w:rPr>
          <w:noProof/>
        </w:rPr>
        <w:drawing>
          <wp:inline distT="0" distB="0" distL="0" distR="0" wp14:anchorId="1B53C5E6" wp14:editId="79D46A76">
            <wp:extent cx="5754536" cy="686461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826" cy="6885242"/>
                    </a:xfrm>
                    <a:prstGeom prst="rect">
                      <a:avLst/>
                    </a:prstGeom>
                    <a:noFill/>
                    <a:ln>
                      <a:noFill/>
                    </a:ln>
                  </pic:spPr>
                </pic:pic>
              </a:graphicData>
            </a:graphic>
          </wp:inline>
        </w:drawing>
      </w:r>
    </w:p>
    <w:p w14:paraId="03936F37" w14:textId="77777777" w:rsidR="006A6AA5" w:rsidRDefault="006A6AA5" w:rsidP="00C64C88">
      <w:pPr>
        <w:rPr>
          <w:noProof/>
          <w:szCs w:val="20"/>
        </w:rPr>
      </w:pPr>
    </w:p>
    <w:p w14:paraId="4A1E3698" w14:textId="77777777" w:rsidR="006A6AA5" w:rsidRDefault="006A6AA5" w:rsidP="00C64C88">
      <w:pPr>
        <w:rPr>
          <w:noProof/>
          <w:szCs w:val="20"/>
        </w:rPr>
      </w:pPr>
    </w:p>
    <w:p w14:paraId="0421461B" w14:textId="77777777" w:rsidR="006A6AA5" w:rsidRDefault="006A6AA5" w:rsidP="00C64C88">
      <w:pPr>
        <w:rPr>
          <w:noProof/>
          <w:szCs w:val="20"/>
        </w:rPr>
      </w:pPr>
    </w:p>
    <w:p w14:paraId="0B8B27F8" w14:textId="77777777" w:rsidR="006A6AA5" w:rsidRDefault="006A6AA5" w:rsidP="00C64C88">
      <w:pPr>
        <w:rPr>
          <w:noProof/>
          <w:szCs w:val="20"/>
        </w:rPr>
      </w:pPr>
    </w:p>
    <w:p w14:paraId="7489045F" w14:textId="2144DE75" w:rsidR="006A6AA5" w:rsidRDefault="009A31F3" w:rsidP="00C64C88">
      <w:pPr>
        <w:rPr>
          <w:noProof/>
          <w:szCs w:val="20"/>
        </w:rPr>
      </w:pPr>
      <w:r w:rsidRPr="00D939A7">
        <w:rPr>
          <w:noProof/>
        </w:rPr>
        <w:lastRenderedPageBreak/>
        <w:drawing>
          <wp:inline distT="0" distB="0" distL="0" distR="0" wp14:anchorId="6A16FBE7" wp14:editId="27ECFA45">
            <wp:extent cx="5327073" cy="1334135"/>
            <wp:effectExtent l="0" t="0" r="698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5232" cy="1336178"/>
                    </a:xfrm>
                    <a:prstGeom prst="rect">
                      <a:avLst/>
                    </a:prstGeom>
                  </pic:spPr>
                </pic:pic>
              </a:graphicData>
            </a:graphic>
          </wp:inline>
        </w:drawing>
      </w:r>
    </w:p>
    <w:p w14:paraId="2046E7C8" w14:textId="0D2B8901" w:rsidR="006A6AA5" w:rsidRDefault="009A31F3" w:rsidP="00C64C88">
      <w:pPr>
        <w:rPr>
          <w:noProof/>
          <w:szCs w:val="20"/>
        </w:rPr>
      </w:pPr>
      <w:r w:rsidRPr="009A31F3">
        <w:rPr>
          <w:noProof/>
        </w:rPr>
        <w:drawing>
          <wp:inline distT="0" distB="0" distL="0" distR="0" wp14:anchorId="1A63A049" wp14:editId="7E2E68BF">
            <wp:extent cx="5347855" cy="7328236"/>
            <wp:effectExtent l="0" t="0" r="5715"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6961" cy="7381823"/>
                    </a:xfrm>
                    <a:prstGeom prst="rect">
                      <a:avLst/>
                    </a:prstGeom>
                    <a:noFill/>
                    <a:ln>
                      <a:noFill/>
                    </a:ln>
                  </pic:spPr>
                </pic:pic>
              </a:graphicData>
            </a:graphic>
          </wp:inline>
        </w:drawing>
      </w:r>
    </w:p>
    <w:p w14:paraId="5B36AAD6" w14:textId="77777777" w:rsidR="006A6AA5" w:rsidRDefault="006A6AA5" w:rsidP="00C64C88">
      <w:pPr>
        <w:rPr>
          <w:noProof/>
          <w:szCs w:val="20"/>
        </w:rPr>
      </w:pPr>
    </w:p>
    <w:p w14:paraId="3F32FB12" w14:textId="77777777" w:rsidR="00AA623D" w:rsidRDefault="00AA623D" w:rsidP="00AA623D">
      <w:pPr>
        <w:rPr>
          <w:b/>
          <w:color w:val="00B0F0"/>
          <w:sz w:val="24"/>
        </w:rPr>
      </w:pPr>
      <w:r w:rsidRPr="005000E1">
        <w:rPr>
          <w:b/>
          <w:color w:val="00B0F0"/>
          <w:sz w:val="24"/>
        </w:rPr>
        <w:lastRenderedPageBreak/>
        <w:t>Bijlage 2</w:t>
      </w:r>
      <w:r w:rsidRPr="005000E1">
        <w:rPr>
          <w:b/>
          <w:color w:val="00B0F0"/>
          <w:sz w:val="24"/>
        </w:rPr>
        <w:tab/>
        <w:t>Overzicht gemeentelijke bijdrage 20</w:t>
      </w:r>
      <w:r w:rsidR="00D4131F" w:rsidRPr="005000E1">
        <w:rPr>
          <w:b/>
          <w:color w:val="00B0F0"/>
          <w:sz w:val="24"/>
        </w:rPr>
        <w:t>2</w:t>
      </w:r>
      <w:r w:rsidR="00544E1F">
        <w:rPr>
          <w:b/>
          <w:color w:val="00B0F0"/>
          <w:sz w:val="24"/>
        </w:rPr>
        <w:t>1</w:t>
      </w:r>
    </w:p>
    <w:p w14:paraId="21D6ABB8" w14:textId="77777777" w:rsidR="00AB68E4" w:rsidRDefault="00AB68E4" w:rsidP="00C64C88">
      <w:pPr>
        <w:rPr>
          <w:szCs w:val="20"/>
        </w:rPr>
      </w:pPr>
    </w:p>
    <w:p w14:paraId="438684F0" w14:textId="1B816D7E" w:rsidR="00F01412" w:rsidRPr="00C64C88" w:rsidRDefault="00C64C88" w:rsidP="00C64C88">
      <w:pPr>
        <w:rPr>
          <w:szCs w:val="20"/>
        </w:rPr>
      </w:pPr>
      <w:r>
        <w:rPr>
          <w:szCs w:val="20"/>
        </w:rPr>
        <w:br w:type="textWrapping" w:clear="all"/>
      </w:r>
      <w:r w:rsidR="0010606E" w:rsidRPr="0010606E">
        <w:rPr>
          <w:noProof/>
        </w:rPr>
        <w:drawing>
          <wp:inline distT="0" distB="0" distL="0" distR="0" wp14:anchorId="4F524B19" wp14:editId="1078B9E1">
            <wp:extent cx="6162002" cy="5972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2242" cy="6001483"/>
                    </a:xfrm>
                    <a:prstGeom prst="rect">
                      <a:avLst/>
                    </a:prstGeom>
                  </pic:spPr>
                </pic:pic>
              </a:graphicData>
            </a:graphic>
          </wp:inline>
        </w:drawing>
      </w:r>
    </w:p>
    <w:p w14:paraId="1AA6D5E3" w14:textId="027FB3A0" w:rsidR="00CA1E97" w:rsidRDefault="00C64C88" w:rsidP="00F01412">
      <w:r>
        <w:br w:type="textWrapping" w:clear="all"/>
      </w:r>
    </w:p>
    <w:p w14:paraId="781AAE27" w14:textId="068B7957" w:rsidR="0010606E" w:rsidRDefault="0010606E" w:rsidP="00F01412"/>
    <w:p w14:paraId="2FBAC304" w14:textId="2AD84413" w:rsidR="0010606E" w:rsidRDefault="0010606E" w:rsidP="00F01412"/>
    <w:p w14:paraId="45B85BA7" w14:textId="4CA0EBD6" w:rsidR="0010606E" w:rsidRDefault="0010606E" w:rsidP="00F01412"/>
    <w:p w14:paraId="5484463C" w14:textId="71874F4D" w:rsidR="0010606E" w:rsidRDefault="0010606E" w:rsidP="00F01412"/>
    <w:p w14:paraId="6EFA1F33" w14:textId="0C8BECD4" w:rsidR="0010606E" w:rsidRDefault="0010606E" w:rsidP="00F01412"/>
    <w:p w14:paraId="6F0939E2" w14:textId="4FFE8E22" w:rsidR="0010606E" w:rsidRDefault="0010606E" w:rsidP="00F01412"/>
    <w:p w14:paraId="739F9214" w14:textId="4BB40067" w:rsidR="0010606E" w:rsidRDefault="0010606E" w:rsidP="00F01412"/>
    <w:p w14:paraId="53804210" w14:textId="7A73470F" w:rsidR="0010606E" w:rsidRDefault="0010606E" w:rsidP="00F01412"/>
    <w:p w14:paraId="337A1631" w14:textId="6DB2267F" w:rsidR="0010606E" w:rsidRDefault="0010606E" w:rsidP="00F01412"/>
    <w:p w14:paraId="667BC807" w14:textId="35B591FB" w:rsidR="0010606E" w:rsidRDefault="0010606E" w:rsidP="00F01412"/>
    <w:p w14:paraId="11AE1112" w14:textId="5DD18C92" w:rsidR="0010606E" w:rsidRDefault="0010606E" w:rsidP="00F01412"/>
    <w:p w14:paraId="4B0A9D3F" w14:textId="713F5C6A" w:rsidR="0010606E" w:rsidRDefault="0010606E" w:rsidP="00F01412"/>
    <w:p w14:paraId="26C9493E" w14:textId="130B9762" w:rsidR="0010606E" w:rsidRDefault="0010606E" w:rsidP="00F01412"/>
    <w:p w14:paraId="3EBB457F" w14:textId="3165EA23" w:rsidR="0010606E" w:rsidRDefault="0010606E" w:rsidP="00F01412"/>
    <w:p w14:paraId="48D3A538" w14:textId="77777777" w:rsidR="00247F9B" w:rsidRDefault="00247F9B" w:rsidP="0010606E">
      <w:pPr>
        <w:rPr>
          <w:b/>
          <w:color w:val="00B0F0"/>
          <w:sz w:val="24"/>
        </w:rPr>
        <w:sectPr w:rsidR="00247F9B" w:rsidSect="00D4131F">
          <w:footerReference w:type="default" r:id="rId14"/>
          <w:pgSz w:w="11906" w:h="16838"/>
          <w:pgMar w:top="1440" w:right="1440" w:bottom="1440" w:left="1440" w:header="709" w:footer="709" w:gutter="0"/>
          <w:cols w:space="708"/>
          <w:docGrid w:linePitch="360"/>
        </w:sectPr>
      </w:pPr>
    </w:p>
    <w:p w14:paraId="4B0E8CFD" w14:textId="64C731F0" w:rsidR="0010606E" w:rsidRDefault="0010606E" w:rsidP="0010606E">
      <w:pPr>
        <w:rPr>
          <w:b/>
          <w:color w:val="00B0F0"/>
          <w:sz w:val="24"/>
        </w:rPr>
      </w:pPr>
      <w:r w:rsidRPr="005000E1">
        <w:rPr>
          <w:b/>
          <w:color w:val="00B0F0"/>
          <w:sz w:val="24"/>
        </w:rPr>
        <w:lastRenderedPageBreak/>
        <w:t xml:space="preserve">Bijlage </w:t>
      </w:r>
      <w:r>
        <w:rPr>
          <w:b/>
          <w:color w:val="00B0F0"/>
          <w:sz w:val="24"/>
        </w:rPr>
        <w:t>3</w:t>
      </w:r>
      <w:r w:rsidRPr="005000E1">
        <w:rPr>
          <w:b/>
          <w:color w:val="00B0F0"/>
          <w:sz w:val="24"/>
        </w:rPr>
        <w:tab/>
      </w:r>
      <w:r w:rsidR="008050BD">
        <w:rPr>
          <w:b/>
          <w:color w:val="00B0F0"/>
          <w:sz w:val="24"/>
        </w:rPr>
        <w:t xml:space="preserve">Bijdrage 2021 </w:t>
      </w:r>
      <w:proofErr w:type="spellStart"/>
      <w:r w:rsidR="008050BD">
        <w:rPr>
          <w:b/>
          <w:color w:val="00B0F0"/>
          <w:sz w:val="24"/>
        </w:rPr>
        <w:t>RHCe</w:t>
      </w:r>
      <w:proofErr w:type="spellEnd"/>
      <w:r w:rsidR="008050BD">
        <w:rPr>
          <w:b/>
          <w:color w:val="00B0F0"/>
          <w:sz w:val="24"/>
        </w:rPr>
        <w:t>: k</w:t>
      </w:r>
      <w:r>
        <w:rPr>
          <w:b/>
          <w:color w:val="00B0F0"/>
          <w:sz w:val="24"/>
        </w:rPr>
        <w:t>ostenoverzicht per gemeente</w:t>
      </w:r>
    </w:p>
    <w:p w14:paraId="2DD401C1" w14:textId="28BB2E07" w:rsidR="0010606E" w:rsidRDefault="0010606E" w:rsidP="00F01412"/>
    <w:p w14:paraId="2FE192A5" w14:textId="77777777" w:rsidR="00117D27" w:rsidRDefault="00117D27" w:rsidP="00F01412"/>
    <w:p w14:paraId="69DF528E" w14:textId="4F3A6BBE" w:rsidR="0010606E" w:rsidRDefault="00117D27" w:rsidP="00F01412">
      <w:r w:rsidRPr="00117D27">
        <w:rPr>
          <w:noProof/>
        </w:rPr>
        <w:drawing>
          <wp:inline distT="0" distB="0" distL="0" distR="0" wp14:anchorId="0F444400" wp14:editId="4DB0A34C">
            <wp:extent cx="9372600" cy="49244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72600" cy="4924425"/>
                    </a:xfrm>
                    <a:prstGeom prst="rect">
                      <a:avLst/>
                    </a:prstGeom>
                  </pic:spPr>
                </pic:pic>
              </a:graphicData>
            </a:graphic>
          </wp:inline>
        </w:drawing>
      </w:r>
    </w:p>
    <w:p w14:paraId="2BDB9183" w14:textId="676506B7" w:rsidR="00117D27" w:rsidRDefault="00117D27" w:rsidP="00117D27"/>
    <w:p w14:paraId="29BF766B" w14:textId="312EBBD7" w:rsidR="00117D27" w:rsidRDefault="00117D27" w:rsidP="00117D27"/>
    <w:p w14:paraId="68E90031" w14:textId="4DB956E1" w:rsidR="00117D27" w:rsidRDefault="00117D27" w:rsidP="00117D27"/>
    <w:p w14:paraId="5A46D1F9" w14:textId="52B6F068" w:rsidR="00117D27" w:rsidRDefault="00117D27" w:rsidP="00117D27">
      <w:r w:rsidRPr="00117D27">
        <w:rPr>
          <w:noProof/>
        </w:rPr>
        <w:drawing>
          <wp:inline distT="0" distB="0" distL="0" distR="0" wp14:anchorId="4F31ADB5" wp14:editId="4D9A758D">
            <wp:extent cx="9401175" cy="52578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401175" cy="5257800"/>
                    </a:xfrm>
                    <a:prstGeom prst="rect">
                      <a:avLst/>
                    </a:prstGeom>
                  </pic:spPr>
                </pic:pic>
              </a:graphicData>
            </a:graphic>
          </wp:inline>
        </w:drawing>
      </w:r>
    </w:p>
    <w:p w14:paraId="0AE70895" w14:textId="5C40EFFA" w:rsidR="00117D27" w:rsidRDefault="00117D27" w:rsidP="00117D27"/>
    <w:p w14:paraId="42433E56" w14:textId="77777777" w:rsidR="00117D27" w:rsidRPr="00117D27" w:rsidRDefault="00117D27" w:rsidP="00117D27"/>
    <w:sectPr w:rsidR="00117D27" w:rsidRPr="00117D27" w:rsidSect="00247F9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16B2" w14:textId="77777777" w:rsidR="003D75C4" w:rsidRDefault="003D75C4" w:rsidP="003D75C4">
      <w:r>
        <w:separator/>
      </w:r>
    </w:p>
  </w:endnote>
  <w:endnote w:type="continuationSeparator" w:id="0">
    <w:p w14:paraId="6444515E" w14:textId="77777777" w:rsidR="003D75C4" w:rsidRDefault="003D75C4" w:rsidP="003D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5911" w14:textId="71161353" w:rsidR="00DC2A4C" w:rsidRDefault="00DC2A4C">
    <w:pPr>
      <w:pStyle w:val="Voettekst"/>
    </w:pPr>
    <w:r>
      <w:t>100385-1198\DRO\HLE\-</w:t>
    </w:r>
    <w:sdt>
      <w:sdtPr>
        <w:id w:val="106237137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EE6AE90" w14:textId="77777777" w:rsidR="003D75C4" w:rsidRDefault="003D75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F1A4" w14:textId="77777777" w:rsidR="003D75C4" w:rsidRDefault="003D75C4" w:rsidP="003D75C4">
      <w:r>
        <w:separator/>
      </w:r>
    </w:p>
  </w:footnote>
  <w:footnote w:type="continuationSeparator" w:id="0">
    <w:p w14:paraId="2F321705" w14:textId="77777777" w:rsidR="003D75C4" w:rsidRDefault="003D75C4" w:rsidP="003D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927EE"/>
    <w:multiLevelType w:val="hybridMultilevel"/>
    <w:tmpl w:val="02D27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124CC6"/>
    <w:multiLevelType w:val="hybridMultilevel"/>
    <w:tmpl w:val="B1162AB0"/>
    <w:lvl w:ilvl="0" w:tplc="EE5A72F8">
      <w:start w:val="1"/>
      <w:numFmt w:val="bullet"/>
      <w:lvlText w:val=""/>
      <w:lvlJc w:val="left"/>
      <w:pPr>
        <w:ind w:left="720" w:hanging="360"/>
      </w:pPr>
      <w:rPr>
        <w:rFonts w:ascii="Wingdings" w:hAnsi="Wingdings" w:hint="default"/>
        <w:color w:val="99CC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7468EB"/>
    <w:multiLevelType w:val="hybridMultilevel"/>
    <w:tmpl w:val="F9A27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C327A7"/>
    <w:multiLevelType w:val="hybridMultilevel"/>
    <w:tmpl w:val="282EE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034971"/>
    <w:multiLevelType w:val="hybridMultilevel"/>
    <w:tmpl w:val="5FD27A54"/>
    <w:lvl w:ilvl="0" w:tplc="EE5A72F8">
      <w:start w:val="1"/>
      <w:numFmt w:val="bullet"/>
      <w:lvlText w:val=""/>
      <w:lvlJc w:val="left"/>
      <w:pPr>
        <w:ind w:left="720" w:hanging="360"/>
      </w:pPr>
      <w:rPr>
        <w:rFonts w:ascii="Wingdings" w:hAnsi="Wingdings" w:hint="default"/>
        <w:color w:val="99CC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316B13"/>
    <w:multiLevelType w:val="hybridMultilevel"/>
    <w:tmpl w:val="883031FC"/>
    <w:lvl w:ilvl="0" w:tplc="2E084B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97BE0"/>
    <w:multiLevelType w:val="hybridMultilevel"/>
    <w:tmpl w:val="60D07072"/>
    <w:lvl w:ilvl="0" w:tplc="EE5A72F8">
      <w:start w:val="1"/>
      <w:numFmt w:val="bullet"/>
      <w:lvlText w:val=""/>
      <w:lvlJc w:val="left"/>
      <w:pPr>
        <w:ind w:left="720" w:hanging="360"/>
      </w:pPr>
      <w:rPr>
        <w:rFonts w:ascii="Wingdings" w:hAnsi="Wingdings" w:hint="default"/>
        <w:color w:val="99CC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D3"/>
    <w:rsid w:val="00081887"/>
    <w:rsid w:val="000E43B3"/>
    <w:rsid w:val="00103421"/>
    <w:rsid w:val="0010606E"/>
    <w:rsid w:val="00115C9B"/>
    <w:rsid w:val="00117D27"/>
    <w:rsid w:val="00136B15"/>
    <w:rsid w:val="00143341"/>
    <w:rsid w:val="0014598C"/>
    <w:rsid w:val="00176A27"/>
    <w:rsid w:val="00177EA0"/>
    <w:rsid w:val="00183963"/>
    <w:rsid w:val="0018570F"/>
    <w:rsid w:val="001A2B09"/>
    <w:rsid w:val="001B37DC"/>
    <w:rsid w:val="001D45ED"/>
    <w:rsid w:val="0022194F"/>
    <w:rsid w:val="002265D5"/>
    <w:rsid w:val="00247F9B"/>
    <w:rsid w:val="002572A2"/>
    <w:rsid w:val="002679F4"/>
    <w:rsid w:val="0027274D"/>
    <w:rsid w:val="002B5903"/>
    <w:rsid w:val="002B763D"/>
    <w:rsid w:val="002C3BAD"/>
    <w:rsid w:val="002C5DF5"/>
    <w:rsid w:val="00336FEE"/>
    <w:rsid w:val="00362CAA"/>
    <w:rsid w:val="00370756"/>
    <w:rsid w:val="003839D2"/>
    <w:rsid w:val="003D75C4"/>
    <w:rsid w:val="003E37CE"/>
    <w:rsid w:val="003F26C6"/>
    <w:rsid w:val="004026D9"/>
    <w:rsid w:val="004126D3"/>
    <w:rsid w:val="004177B6"/>
    <w:rsid w:val="0043514F"/>
    <w:rsid w:val="004430D3"/>
    <w:rsid w:val="004653D1"/>
    <w:rsid w:val="004747CE"/>
    <w:rsid w:val="004A24B1"/>
    <w:rsid w:val="004A3970"/>
    <w:rsid w:val="004C0D18"/>
    <w:rsid w:val="004C1674"/>
    <w:rsid w:val="004F026B"/>
    <w:rsid w:val="004F42B2"/>
    <w:rsid w:val="005000E1"/>
    <w:rsid w:val="00512C2E"/>
    <w:rsid w:val="005134F0"/>
    <w:rsid w:val="00517525"/>
    <w:rsid w:val="0052305D"/>
    <w:rsid w:val="0053250B"/>
    <w:rsid w:val="00544E1F"/>
    <w:rsid w:val="005702A8"/>
    <w:rsid w:val="005806B3"/>
    <w:rsid w:val="00593D42"/>
    <w:rsid w:val="005A1E3C"/>
    <w:rsid w:val="005C10FB"/>
    <w:rsid w:val="005D611D"/>
    <w:rsid w:val="006101F1"/>
    <w:rsid w:val="00613FAA"/>
    <w:rsid w:val="00653633"/>
    <w:rsid w:val="00665ACF"/>
    <w:rsid w:val="00671132"/>
    <w:rsid w:val="00674603"/>
    <w:rsid w:val="006A6AA5"/>
    <w:rsid w:val="006B33D5"/>
    <w:rsid w:val="006C7E4F"/>
    <w:rsid w:val="006F1FCB"/>
    <w:rsid w:val="007004F7"/>
    <w:rsid w:val="007223A1"/>
    <w:rsid w:val="00742877"/>
    <w:rsid w:val="00762987"/>
    <w:rsid w:val="0079150D"/>
    <w:rsid w:val="007A4E20"/>
    <w:rsid w:val="007B67E1"/>
    <w:rsid w:val="007D15B1"/>
    <w:rsid w:val="007D6204"/>
    <w:rsid w:val="007D7AFD"/>
    <w:rsid w:val="00800C5B"/>
    <w:rsid w:val="008050BD"/>
    <w:rsid w:val="00837762"/>
    <w:rsid w:val="008440D7"/>
    <w:rsid w:val="00873C5E"/>
    <w:rsid w:val="008772E1"/>
    <w:rsid w:val="008860C7"/>
    <w:rsid w:val="00893271"/>
    <w:rsid w:val="008A41EA"/>
    <w:rsid w:val="008C234E"/>
    <w:rsid w:val="008E4359"/>
    <w:rsid w:val="00903A21"/>
    <w:rsid w:val="009550A0"/>
    <w:rsid w:val="00961561"/>
    <w:rsid w:val="009644BD"/>
    <w:rsid w:val="00976FF6"/>
    <w:rsid w:val="009A31F3"/>
    <w:rsid w:val="009F0888"/>
    <w:rsid w:val="00A306BF"/>
    <w:rsid w:val="00A3240E"/>
    <w:rsid w:val="00A71676"/>
    <w:rsid w:val="00A74A79"/>
    <w:rsid w:val="00A9461A"/>
    <w:rsid w:val="00AA4659"/>
    <w:rsid w:val="00AA623D"/>
    <w:rsid w:val="00AB68E4"/>
    <w:rsid w:val="00B02DC8"/>
    <w:rsid w:val="00B12103"/>
    <w:rsid w:val="00B2588F"/>
    <w:rsid w:val="00B45453"/>
    <w:rsid w:val="00B765DC"/>
    <w:rsid w:val="00B80FFB"/>
    <w:rsid w:val="00BB2BDA"/>
    <w:rsid w:val="00BF0007"/>
    <w:rsid w:val="00C03F0C"/>
    <w:rsid w:val="00C5087D"/>
    <w:rsid w:val="00C508E9"/>
    <w:rsid w:val="00C5185B"/>
    <w:rsid w:val="00C64C88"/>
    <w:rsid w:val="00C803A1"/>
    <w:rsid w:val="00CA1E97"/>
    <w:rsid w:val="00CC35A2"/>
    <w:rsid w:val="00CD3BBA"/>
    <w:rsid w:val="00D032FD"/>
    <w:rsid w:val="00D06950"/>
    <w:rsid w:val="00D21276"/>
    <w:rsid w:val="00D37EEE"/>
    <w:rsid w:val="00D4131F"/>
    <w:rsid w:val="00D46F09"/>
    <w:rsid w:val="00D74C18"/>
    <w:rsid w:val="00D939A7"/>
    <w:rsid w:val="00DA4FE4"/>
    <w:rsid w:val="00DC2A4C"/>
    <w:rsid w:val="00E23269"/>
    <w:rsid w:val="00E2624B"/>
    <w:rsid w:val="00E572BC"/>
    <w:rsid w:val="00E6718F"/>
    <w:rsid w:val="00E848CF"/>
    <w:rsid w:val="00E84B75"/>
    <w:rsid w:val="00E94B83"/>
    <w:rsid w:val="00EA0BAB"/>
    <w:rsid w:val="00EA2061"/>
    <w:rsid w:val="00EB0160"/>
    <w:rsid w:val="00EC1A51"/>
    <w:rsid w:val="00EC35A3"/>
    <w:rsid w:val="00EF492F"/>
    <w:rsid w:val="00F01412"/>
    <w:rsid w:val="00F05EEB"/>
    <w:rsid w:val="00F10C74"/>
    <w:rsid w:val="00F133FD"/>
    <w:rsid w:val="00F553CF"/>
    <w:rsid w:val="00F80FFE"/>
    <w:rsid w:val="00F81350"/>
    <w:rsid w:val="00F8617B"/>
    <w:rsid w:val="00F92105"/>
    <w:rsid w:val="00FA42AF"/>
    <w:rsid w:val="00FA4980"/>
    <w:rsid w:val="00FB0133"/>
    <w:rsid w:val="00FD4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ABD8"/>
  <w15:docId w15:val="{E7C6D1B7-6C12-4DFC-8555-493E5AA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6D3"/>
    <w:pPr>
      <w:spacing w:after="0" w:line="240" w:lineRule="auto"/>
    </w:pPr>
    <w:rPr>
      <w:rFonts w:ascii="Arial" w:eastAsia="Times New Roman" w:hAnsi="Arial" w:cs="Arial"/>
      <w:sz w:val="20"/>
      <w:szCs w:val="24"/>
      <w:lang w:eastAsia="nl-NL"/>
    </w:rPr>
  </w:style>
  <w:style w:type="paragraph" w:styleId="Kop1">
    <w:name w:val="heading 1"/>
    <w:basedOn w:val="Standaard"/>
    <w:next w:val="Standaard"/>
    <w:link w:val="Kop1Char"/>
    <w:autoRedefine/>
    <w:qFormat/>
    <w:rsid w:val="007D7AFD"/>
    <w:pPr>
      <w:keepNext/>
      <w:spacing w:line="264" w:lineRule="auto"/>
      <w:outlineLvl w:val="0"/>
    </w:pPr>
    <w:rPr>
      <w:b/>
      <w:bCs/>
      <w:color w:val="5F497A" w:themeColor="accent4" w:themeShade="BF"/>
      <w:kern w:val="32"/>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D7AFD"/>
    <w:rPr>
      <w:rFonts w:ascii="Arial" w:eastAsia="Times New Roman" w:hAnsi="Arial" w:cs="Arial"/>
      <w:b/>
      <w:bCs/>
      <w:color w:val="5F497A" w:themeColor="accent4" w:themeShade="BF"/>
      <w:kern w:val="32"/>
      <w:lang w:eastAsia="nl-NL"/>
    </w:rPr>
  </w:style>
  <w:style w:type="paragraph" w:customStyle="1" w:styleId="Default">
    <w:name w:val="Default"/>
    <w:rsid w:val="00A306B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B45453"/>
    <w:rPr>
      <w:rFonts w:ascii="Tahoma" w:hAnsi="Tahoma" w:cs="Tahoma"/>
      <w:sz w:val="16"/>
      <w:szCs w:val="16"/>
    </w:rPr>
  </w:style>
  <w:style w:type="character" w:customStyle="1" w:styleId="BallontekstChar">
    <w:name w:val="Ballontekst Char"/>
    <w:basedOn w:val="Standaardalinea-lettertype"/>
    <w:link w:val="Ballontekst"/>
    <w:uiPriority w:val="99"/>
    <w:semiHidden/>
    <w:rsid w:val="00B45453"/>
    <w:rPr>
      <w:rFonts w:ascii="Tahoma" w:eastAsia="Times New Roman" w:hAnsi="Tahoma" w:cs="Tahoma"/>
      <w:sz w:val="16"/>
      <w:szCs w:val="16"/>
      <w:lang w:eastAsia="nl-NL"/>
    </w:rPr>
  </w:style>
  <w:style w:type="paragraph" w:styleId="Geenafstand">
    <w:name w:val="No Spacing"/>
    <w:link w:val="GeenafstandChar"/>
    <w:uiPriority w:val="1"/>
    <w:qFormat/>
    <w:rsid w:val="002C5DF5"/>
    <w:pPr>
      <w:spacing w:after="0" w:line="240" w:lineRule="auto"/>
    </w:pPr>
  </w:style>
  <w:style w:type="character" w:customStyle="1" w:styleId="GeenafstandChar">
    <w:name w:val="Geen afstand Char"/>
    <w:basedOn w:val="Standaardalinea-lettertype"/>
    <w:link w:val="Geenafstand"/>
    <w:uiPriority w:val="1"/>
    <w:rsid w:val="002C5DF5"/>
  </w:style>
  <w:style w:type="paragraph" w:styleId="Lijstalinea">
    <w:name w:val="List Paragraph"/>
    <w:basedOn w:val="Standaard"/>
    <w:uiPriority w:val="34"/>
    <w:qFormat/>
    <w:rsid w:val="00E23269"/>
    <w:pPr>
      <w:ind w:left="720"/>
      <w:contextualSpacing/>
    </w:pPr>
  </w:style>
  <w:style w:type="paragraph" w:styleId="Koptekst">
    <w:name w:val="header"/>
    <w:basedOn w:val="Standaard"/>
    <w:link w:val="KoptekstChar"/>
    <w:uiPriority w:val="99"/>
    <w:unhideWhenUsed/>
    <w:rsid w:val="003D75C4"/>
    <w:pPr>
      <w:tabs>
        <w:tab w:val="center" w:pos="4513"/>
        <w:tab w:val="right" w:pos="9026"/>
      </w:tabs>
    </w:pPr>
  </w:style>
  <w:style w:type="character" w:customStyle="1" w:styleId="KoptekstChar">
    <w:name w:val="Koptekst Char"/>
    <w:basedOn w:val="Standaardalinea-lettertype"/>
    <w:link w:val="Koptekst"/>
    <w:uiPriority w:val="99"/>
    <w:rsid w:val="003D75C4"/>
    <w:rPr>
      <w:rFonts w:ascii="Arial" w:eastAsia="Times New Roman" w:hAnsi="Arial" w:cs="Arial"/>
      <w:sz w:val="20"/>
      <w:szCs w:val="24"/>
      <w:lang w:eastAsia="nl-NL"/>
    </w:rPr>
  </w:style>
  <w:style w:type="paragraph" w:styleId="Voettekst">
    <w:name w:val="footer"/>
    <w:basedOn w:val="Standaard"/>
    <w:link w:val="VoettekstChar"/>
    <w:uiPriority w:val="99"/>
    <w:unhideWhenUsed/>
    <w:rsid w:val="003D75C4"/>
    <w:pPr>
      <w:tabs>
        <w:tab w:val="center" w:pos="4513"/>
        <w:tab w:val="right" w:pos="9026"/>
      </w:tabs>
    </w:pPr>
  </w:style>
  <w:style w:type="character" w:customStyle="1" w:styleId="VoettekstChar">
    <w:name w:val="Voettekst Char"/>
    <w:basedOn w:val="Standaardalinea-lettertype"/>
    <w:link w:val="Voettekst"/>
    <w:uiPriority w:val="99"/>
    <w:rsid w:val="003D75C4"/>
    <w:rPr>
      <w:rFonts w:ascii="Arial" w:eastAsia="Times New Roman" w:hAnsi="Arial" w:cs="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3641">
      <w:bodyDiv w:val="1"/>
      <w:marLeft w:val="0"/>
      <w:marRight w:val="0"/>
      <w:marTop w:val="0"/>
      <w:marBottom w:val="0"/>
      <w:divBdr>
        <w:top w:val="none" w:sz="0" w:space="0" w:color="auto"/>
        <w:left w:val="none" w:sz="0" w:space="0" w:color="auto"/>
        <w:bottom w:val="none" w:sz="0" w:space="0" w:color="auto"/>
        <w:right w:val="none" w:sz="0" w:space="0" w:color="auto"/>
      </w:divBdr>
    </w:div>
    <w:div w:id="16012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B9B8-FE55-4ECF-90C7-E9B870F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1007</Words>
  <Characters>5540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Simac ICT</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Derijck</dc:creator>
  <cp:lastModifiedBy>Sietske van der Velden</cp:lastModifiedBy>
  <cp:revision>2</cp:revision>
  <cp:lastPrinted>2019-11-21T09:51:00Z</cp:lastPrinted>
  <dcterms:created xsi:type="dcterms:W3CDTF">2019-11-21T09:52:00Z</dcterms:created>
  <dcterms:modified xsi:type="dcterms:W3CDTF">2019-11-21T09:52:00Z</dcterms:modified>
</cp:coreProperties>
</file>